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heme="minorEastAsia" w:hAnsiTheme="minorEastAsia" w:eastAsiaTheme="minorEastAsia"/>
          <w:b/>
          <w:color w:val="auto"/>
          <w:sz w:val="84"/>
          <w:highlight w:val="none"/>
        </w:rPr>
      </w:pPr>
      <w:r>
        <w:rPr>
          <w:rFonts w:asciiTheme="minorEastAsia" w:hAnsiTheme="minorEastAsia" w:eastAsiaTheme="minorEastAsia"/>
          <w:b/>
          <w:color w:val="auto"/>
          <w:sz w:val="84"/>
          <w:highlight w:val="none"/>
        </w:rPr>
      </w:r>
      <w:r/>
    </w:p>
    <w:p>
      <w:pPr>
        <w:jc w:val="center"/>
        <w:spacing w:line="360" w:lineRule="auto"/>
        <w:rPr>
          <w:rFonts w:asciiTheme="minorEastAsia" w:hAnsiTheme="minorEastAsia" w:eastAsiaTheme="minorEastAsia"/>
          <w:b/>
          <w:color w:val="auto"/>
          <w:sz w:val="84"/>
          <w:highlight w:val="none"/>
        </w:rPr>
      </w:pPr>
      <w:r>
        <w:rPr>
          <w:rFonts w:hint="eastAsia" w:asciiTheme="minorEastAsia" w:hAnsiTheme="minorEastAsia" w:eastAsiaTheme="minorEastAsia"/>
          <w:b/>
          <w:color w:val="auto"/>
          <w:sz w:val="84"/>
          <w:highlight w:val="none"/>
        </w:rPr>
        <w:t xml:space="preserve">招   标   文   件</w:t>
      </w:r>
      <w:r/>
    </w:p>
    <w:p>
      <w:pPr>
        <w:jc w:val="center"/>
        <w:spacing w:line="360" w:lineRule="auto"/>
        <w:rPr>
          <w:rFonts w:asciiTheme="minorEastAsia" w:hAnsiTheme="minorEastAsia" w:eastAsiaTheme="minorEastAsia"/>
          <w:color w:val="auto"/>
          <w:sz w:val="44"/>
          <w:szCs w:val="44"/>
          <w:highlight w:val="none"/>
        </w:rPr>
      </w:pPr>
      <w:r>
        <w:rPr>
          <w:rFonts w:hint="eastAsia" w:asciiTheme="minorEastAsia" w:hAnsiTheme="minorEastAsia" w:eastAsiaTheme="minorEastAsia"/>
          <w:color w:val="auto"/>
          <w:sz w:val="44"/>
          <w:szCs w:val="44"/>
          <w:highlight w:val="none"/>
        </w:rPr>
        <w:t xml:space="preserve">（电子招投标）</w:t>
      </w:r>
      <w:r/>
    </w:p>
    <w:p>
      <w:pPr>
        <w:jc w:val="center"/>
        <w:spacing w:line="360" w:lineRule="auto"/>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jc w:val="left"/>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jc w:val="left"/>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jc w:val="left"/>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jc w:val="left"/>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项目编号：JSZC-321183-ZDDL-G2026-0004</w:t>
      </w:r>
      <w:r/>
    </w:p>
    <w:p>
      <w:pPr>
        <w:jc w:val="left"/>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jc w:val="left"/>
        <w:spacing w:line="360" w:lineRule="auto"/>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项目名称</w:t>
      </w:r>
      <w:r>
        <w:rPr>
          <w:rFonts w:hint="eastAsia" w:asciiTheme="minorEastAsia" w:hAnsiTheme="minorEastAsia" w:eastAsiaTheme="minorEastAsia"/>
          <w:color w:val="auto"/>
          <w:sz w:val="36"/>
          <w:szCs w:val="36"/>
          <w:highlight w:val="none"/>
        </w:rPr>
        <w:t xml:space="preserve">：</w:t>
      </w:r>
      <w:r>
        <w:rPr>
          <w:rFonts w:hint="eastAsia" w:asciiTheme="minorEastAsia" w:hAnsiTheme="minorEastAsia" w:eastAsiaTheme="minorEastAsia"/>
          <w:b/>
          <w:color w:val="auto"/>
          <w:sz w:val="36"/>
          <w:szCs w:val="36"/>
          <w:highlight w:val="none"/>
          <w:lang w:eastAsia="zh-CN"/>
        </w:rPr>
        <w:t xml:space="preserve">句容市琅琊实验学校专用教室教学设备采购</w:t>
      </w:r>
      <w:r/>
    </w:p>
    <w:p>
      <w:pPr>
        <w:jc w:val="center"/>
        <w:spacing w:line="360" w:lineRule="auto"/>
        <w:rPr>
          <w:rFonts w:cs="仿宋" w:asciiTheme="minorEastAsia" w:hAnsiTheme="minorEastAsia" w:eastAsiaTheme="minorEastAsia"/>
          <w:color w:val="auto"/>
          <w:sz w:val="32"/>
          <w:szCs w:val="32"/>
          <w:highlight w:val="none"/>
        </w:rPr>
      </w:pPr>
      <w:r>
        <w:rPr>
          <w:rFonts w:cs="仿宋"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b/>
          <w:color w:val="auto"/>
          <w:sz w:val="36"/>
          <w:highlight w:val="none"/>
        </w:rPr>
      </w:pPr>
      <w:r/>
      <w:bookmarkStart w:id="0" w:name="EB741dc7ac76b840eda3655487e97e50de"/>
      <w:r/>
      <w:bookmarkEnd w:id="0"/>
      <w:r/>
      <w:r/>
    </w:p>
    <w:p>
      <w:pPr>
        <w:pStyle w:val="788"/>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lang w:val="en-US" w:eastAsia="zh-CN"/>
        </w:rPr>
        <w:t xml:space="preserve">江苏正德建设管理</w:t>
      </w:r>
      <w:r>
        <w:rPr>
          <w:rFonts w:hint="eastAsia" w:asciiTheme="minorEastAsia" w:hAnsiTheme="minorEastAsia" w:eastAsiaTheme="minorEastAsia"/>
          <w:b/>
          <w:color w:val="auto"/>
          <w:sz w:val="36"/>
          <w:highlight w:val="none"/>
        </w:rPr>
        <w:t xml:space="preserve">有限公司</w:t>
      </w:r>
      <w:r/>
    </w:p>
    <w:p>
      <w:pPr>
        <w:jc w:val="center"/>
        <w:spacing w:line="360" w:lineRule="auto"/>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rPr>
          <w:rFonts w:cs="宋体" w:asciiTheme="minorEastAsia" w:hAnsiTheme="minorEastAsia" w:eastAsiaTheme="minorEastAsia"/>
          <w:b/>
          <w:color w:val="auto"/>
          <w:sz w:val="36"/>
          <w:szCs w:val="36"/>
          <w:highlight w:val="none"/>
        </w:rPr>
      </w:pPr>
      <w:r>
        <w:rPr>
          <w:rFonts w:hint="eastAsia" w:cs="宋体" w:asciiTheme="minorEastAsia" w:hAnsiTheme="minorEastAsia" w:eastAsiaTheme="minorEastAsia"/>
          <w:b/>
          <w:color w:val="auto"/>
          <w:sz w:val="36"/>
          <w:szCs w:val="36"/>
          <w:highlight w:val="none"/>
        </w:rPr>
        <w:t xml:space="preserve">2026年7月</w:t>
      </w:r>
      <w:r/>
    </w:p>
    <w:p>
      <w:pPr>
        <w:jc w:val="center"/>
        <w:spacing w:line="360" w:lineRule="auto"/>
        <w:rPr>
          <w:rFonts w:asciiTheme="minorEastAsia" w:hAnsiTheme="minorEastAsia" w:eastAsiaTheme="minorEastAsia"/>
          <w:b/>
          <w:color w:val="auto"/>
          <w:sz w:val="36"/>
          <w:szCs w:val="36"/>
          <w:highlight w:val="none"/>
        </w:rPr>
      </w:pPr>
      <w:r>
        <w:rPr>
          <w:rFonts w:asciiTheme="minorEastAsia" w:hAnsiTheme="minorEastAsia" w:eastAsiaTheme="minorEastAsia"/>
          <w:b/>
          <w:color w:val="auto"/>
          <w:sz w:val="36"/>
          <w:szCs w:val="36"/>
          <w:highlight w:val="none"/>
        </w:rPr>
      </w:r>
      <w:r/>
    </w:p>
    <w:p>
      <w:pPr>
        <w:jc w:val="center"/>
        <w:spacing w:line="360" w:lineRule="auto"/>
        <w:rPr>
          <w:rFonts w:asciiTheme="minorEastAsia" w:hAnsiTheme="minorEastAsia" w:eastAsiaTheme="minorEastAsia"/>
          <w:b/>
          <w:color w:val="auto"/>
          <w:sz w:val="44"/>
          <w:highlight w:val="none"/>
        </w:rPr>
      </w:pPr>
      <w:r>
        <w:rPr>
          <w:rFonts w:asciiTheme="minorEastAsia" w:hAnsiTheme="minorEastAsia" w:eastAsiaTheme="minorEastAsia"/>
          <w:b/>
          <w:color w:val="auto"/>
          <w:sz w:val="44"/>
          <w:highlight w:val="none"/>
        </w:rPr>
      </w:r>
      <w:r/>
    </w:p>
    <w:p>
      <w:pPr>
        <w:jc w:val="center"/>
        <w:spacing w:line="360" w:lineRule="auto"/>
        <w:rPr>
          <w:rFonts w:asciiTheme="minorEastAsia" w:hAnsiTheme="minorEastAsia" w:eastAsiaTheme="minorEastAsia"/>
          <w:b/>
          <w:color w:val="auto"/>
          <w:sz w:val="44"/>
          <w:highlight w:val="none"/>
        </w:rPr>
      </w:pPr>
      <w:r>
        <w:rPr>
          <w:rFonts w:asciiTheme="minorEastAsia" w:hAnsiTheme="minorEastAsia" w:eastAsiaTheme="minorEastAsia"/>
          <w:b/>
          <w:color w:val="auto"/>
          <w:sz w:val="44"/>
          <w:highlight w:val="none"/>
        </w:rPr>
      </w:r>
      <w:r/>
    </w:p>
    <w:p>
      <w:pPr>
        <w:jc w:val="center"/>
        <w:spacing w:line="360" w:lineRule="auto"/>
        <w:rPr>
          <w:rFonts w:asciiTheme="minorEastAsia" w:hAnsiTheme="minorEastAsia" w:eastAsiaTheme="minorEastAsia"/>
          <w:b/>
          <w:color w:val="auto"/>
          <w:sz w:val="44"/>
          <w:highlight w:val="none"/>
        </w:rPr>
      </w:pPr>
      <w:r>
        <w:rPr>
          <w:rFonts w:hint="eastAsia" w:asciiTheme="minorEastAsia" w:hAnsiTheme="minorEastAsia" w:eastAsiaTheme="minorEastAsia"/>
          <w:b/>
          <w:color w:val="auto"/>
          <w:sz w:val="44"/>
          <w:highlight w:val="none"/>
        </w:rPr>
        <w:t xml:space="preserve">招标文件目录</w:t>
      </w:r>
      <w:r/>
    </w:p>
    <w:p>
      <w:pPr>
        <w:ind w:firstLine="883"/>
        <w:jc w:val="center"/>
        <w:spacing w:line="360" w:lineRule="auto"/>
        <w:rPr>
          <w:rFonts w:asciiTheme="minorEastAsia" w:hAnsiTheme="minorEastAsia" w:eastAsiaTheme="minorEastAsia"/>
          <w:b/>
          <w:color w:val="auto"/>
          <w:sz w:val="44"/>
          <w:highlight w:val="none"/>
        </w:rPr>
      </w:pPr>
      <w:r>
        <w:rPr>
          <w:rFonts w:asciiTheme="minorEastAsia" w:hAnsiTheme="minorEastAsia" w:eastAsiaTheme="minorEastAsia"/>
          <w:b/>
          <w:color w:val="auto"/>
          <w:sz w:val="44"/>
          <w:highlight w:val="none"/>
        </w:rPr>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第一部分    投标邀请   </w:t>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第二部分    投标人须知                  </w:t>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第三部分    拟签订的合同文本</w:t>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第四部分    采购需求</w:t>
      </w:r>
      <w:r/>
    </w:p>
    <w:p>
      <w:pPr>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第五部分    评标办法和标准</w:t>
      </w:r>
      <w:r/>
    </w:p>
    <w:p>
      <w:pPr>
        <w:jc w:val="left"/>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第六部分    投标文件（格式）</w:t>
      </w:r>
      <w:r/>
    </w:p>
    <w:p>
      <w:pPr>
        <w:pStyle w:val="756"/>
        <w:ind w:left="779" w:right="900" w:firstLine="420"/>
        <w:jc w:val="center"/>
        <w:keepLines w:val="0"/>
        <w:keepNext w:val="0"/>
        <w:spacing w:before="200" w:after="200" w:line="360" w:lineRule="auto"/>
        <w:rPr>
          <w:rFonts w:asciiTheme="minorEastAsia" w:hAnsiTheme="minorEastAsia" w:eastAsiaTheme="minorEastAsia"/>
          <w:color w:val="auto"/>
          <w:sz w:val="36"/>
          <w:szCs w:val="36"/>
          <w:highlight w:val="none"/>
          <w:lang w:eastAsia="zh-CN"/>
        </w:rPr>
      </w:pPr>
      <w:r>
        <w:rPr>
          <w:rFonts w:asciiTheme="minorEastAsia" w:hAnsiTheme="minorEastAsia" w:eastAsiaTheme="minorEastAsia"/>
          <w:color w:val="auto"/>
          <w:sz w:val="30"/>
          <w:highlight w:val="none"/>
          <w:lang w:eastAsia="zh-CN"/>
        </w:rPr>
        <w:br w:type="page" w:clear="all"/>
      </w:r>
      <w:bookmarkStart w:id="1" w:name="_Toc100386033"/>
      <w:r/>
      <w:bookmarkStart w:id="2" w:name="_Toc92167999"/>
      <w:r/>
      <w:bookmarkStart w:id="3" w:name="_Toc20732967"/>
      <w:r>
        <w:rPr>
          <w:rFonts w:hint="eastAsia" w:asciiTheme="minorEastAsia" w:hAnsiTheme="minorEastAsia" w:eastAsiaTheme="minorEastAsia"/>
          <w:color w:val="auto"/>
          <w:sz w:val="36"/>
          <w:szCs w:val="36"/>
          <w:highlight w:val="none"/>
          <w:lang w:eastAsia="zh-CN"/>
        </w:rPr>
        <w:t xml:space="preserve">第一部分  投标邀请</w:t>
      </w:r>
      <w:bookmarkEnd w:id="1"/>
      <w:r/>
      <w:bookmarkEnd w:id="2"/>
      <w:r/>
      <w:bookmarkEnd w:id="3"/>
      <w:r/>
      <w:r/>
    </w:p>
    <w:p>
      <w:pPr>
        <w:ind w:firstLine="480"/>
        <w:spacing w:line="360" w:lineRule="auto"/>
        <w:rPr>
          <w:rFonts w:asciiTheme="minorEastAsia" w:hAnsiTheme="minorEastAsia" w:eastAsiaTheme="minorEastAsia"/>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100386044"/>
      <w:r/>
      <w:bookmarkStart w:id="5" w:name="_Toc98669341"/>
      <w:r/>
      <w:bookmarkStart w:id="6" w:name="_Toc20732978"/>
      <w:r/>
      <w:bookmarkStart w:id="7" w:name="_Toc92168010"/>
      <w:r/>
      <w:bookmarkStart w:id="8" w:name="_Toc98669699"/>
      <w:r>
        <w:rPr>
          <w:rFonts w:hint="eastAsia" w:asciiTheme="minorEastAsia" w:hAnsiTheme="minorEastAsia" w:eastAsiaTheme="minorEastAsia"/>
          <w:color w:val="auto"/>
          <w:sz w:val="24"/>
          <w:szCs w:val="28"/>
          <w:highlight w:val="none"/>
        </w:rPr>
        <w:t xml:space="preserve">项目概况</w:t>
      </w:r>
      <w:r/>
    </w:p>
    <w:p>
      <w:pPr>
        <w:ind w:firstLine="480"/>
        <w:spacing w:line="360" w:lineRule="auto"/>
        <w:rPr>
          <w:rFonts w:asciiTheme="minorEastAsia" w:hAnsiTheme="minorEastAsia" w:eastAsiaTheme="minorEastAsia"/>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auto"/>
          <w:sz w:val="24"/>
          <w:szCs w:val="28"/>
          <w:highlight w:val="none"/>
          <w:u w:val="single"/>
          <w:lang w:eastAsia="zh-CN"/>
        </w:rPr>
        <w:t xml:space="preserve">句容市琅琊实验学校专用教室教学设备采购</w:t>
      </w:r>
      <w:r>
        <w:rPr>
          <w:rFonts w:hint="eastAsia" w:asciiTheme="minorEastAsia" w:hAnsiTheme="minorEastAsia" w:eastAsiaTheme="minorEastAsia"/>
          <w:color w:val="auto"/>
          <w:sz w:val="24"/>
          <w:szCs w:val="28"/>
          <w:highlight w:val="none"/>
        </w:rPr>
        <w:t xml:space="preserve">项目的潜在投标人应在</w:t>
      </w:r>
      <w:r>
        <w:rPr>
          <w:rFonts w:hint="eastAsia" w:asciiTheme="minorEastAsia" w:hAnsiTheme="minorEastAsia" w:eastAsiaTheme="minorEastAsia"/>
          <w:color w:val="auto"/>
          <w:sz w:val="24"/>
          <w:szCs w:val="28"/>
          <w:highlight w:val="none"/>
          <w:u w:val="single"/>
        </w:rPr>
        <w:t xml:space="preserve">江苏政府采购网-苏采云平台</w:t>
      </w:r>
      <w:r>
        <w:rPr>
          <w:rFonts w:hint="eastAsia" w:asciiTheme="minorEastAsia" w:hAnsiTheme="minorEastAsia" w:eastAsiaTheme="minorEastAsia"/>
          <w:color w:val="auto"/>
          <w:sz w:val="24"/>
          <w:highlight w:val="none"/>
          <w:u w:val="single"/>
        </w:rPr>
        <w:t xml:space="preserve">http://jszfcg.jsczt.cn/jszc/login</w:t>
      </w:r>
      <w:r>
        <w:rPr>
          <w:rFonts w:hint="eastAsia" w:asciiTheme="minorEastAsia" w:hAnsiTheme="minorEastAsia" w:eastAsiaTheme="minorEastAsia"/>
          <w:color w:val="auto"/>
          <w:sz w:val="24"/>
          <w:szCs w:val="28"/>
          <w:highlight w:val="none"/>
        </w:rPr>
        <w:t xml:space="preserve">获取招标文件，并于</w:t>
      </w:r>
      <w:r>
        <w:rPr>
          <w:rFonts w:hint="eastAsia" w:asciiTheme="minorEastAsia" w:hAnsiTheme="minorEastAsia" w:eastAsiaTheme="minorEastAsia"/>
          <w:color w:val="auto"/>
          <w:sz w:val="24"/>
          <w:szCs w:val="28"/>
          <w:highlight w:val="none"/>
          <w:u w:val="single"/>
        </w:rPr>
        <w:t xml:space="preserve">2026年</w:t>
      </w:r>
      <w:r>
        <w:rPr>
          <w:rFonts w:hint="eastAsia" w:asciiTheme="minorEastAsia" w:hAnsiTheme="minorEastAsia" w:eastAsiaTheme="minorEastAsia"/>
          <w:color w:val="auto"/>
          <w:sz w:val="24"/>
          <w:szCs w:val="28"/>
          <w:highlight w:val="none"/>
          <w:u w:val="single"/>
          <w:lang w:val="en-US" w:eastAsia="zh-CN"/>
        </w:rPr>
        <w:t xml:space="preserve">08</w:t>
      </w:r>
      <w:r>
        <w:rPr>
          <w:rFonts w:hint="eastAsia" w:asciiTheme="minorEastAsia" w:hAnsiTheme="minorEastAsia" w:eastAsiaTheme="minorEastAsia"/>
          <w:color w:val="auto"/>
          <w:sz w:val="24"/>
          <w:szCs w:val="28"/>
          <w:highlight w:val="none"/>
          <w:u w:val="single"/>
        </w:rPr>
        <w:t xml:space="preserve">月</w:t>
      </w:r>
      <w:r>
        <w:rPr>
          <w:rFonts w:hint="eastAsia" w:asciiTheme="minorEastAsia" w:hAnsiTheme="minorEastAsia" w:eastAsiaTheme="minorEastAsia"/>
          <w:color w:val="auto"/>
          <w:sz w:val="24"/>
          <w:szCs w:val="28"/>
          <w:highlight w:val="none"/>
          <w:u w:val="single"/>
          <w:lang w:val="en-US" w:eastAsia="zh-CN"/>
        </w:rPr>
        <w:t xml:space="preserve">11</w:t>
      </w:r>
      <w:r>
        <w:rPr>
          <w:rFonts w:hint="eastAsia" w:asciiTheme="minorEastAsia" w:hAnsiTheme="minorEastAsia" w:eastAsiaTheme="minorEastAsia"/>
          <w:color w:val="auto"/>
          <w:sz w:val="24"/>
          <w:szCs w:val="28"/>
          <w:highlight w:val="none"/>
          <w:u w:val="single"/>
        </w:rPr>
        <w:t xml:space="preserve">日09点</w:t>
      </w:r>
      <w:r>
        <w:rPr>
          <w:rFonts w:hint="eastAsia" w:asciiTheme="minorEastAsia" w:hAnsiTheme="minorEastAsia" w:eastAsiaTheme="minorEastAsia"/>
          <w:color w:val="auto"/>
          <w:sz w:val="24"/>
          <w:szCs w:val="28"/>
          <w:highlight w:val="none"/>
          <w:u w:val="single"/>
          <w:lang w:val="en-US" w:eastAsia="zh-CN"/>
        </w:rPr>
        <w:t xml:space="preserve">00</w:t>
      </w:r>
      <w:r>
        <w:rPr>
          <w:rFonts w:hint="eastAsia" w:asciiTheme="minorEastAsia" w:hAnsiTheme="minorEastAsia" w:eastAsiaTheme="minorEastAsia"/>
          <w:color w:val="auto"/>
          <w:sz w:val="24"/>
          <w:szCs w:val="28"/>
          <w:highlight w:val="none"/>
          <w:u w:val="single"/>
        </w:rPr>
        <w:t xml:space="preserve">分</w:t>
      </w: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eastAsiaTheme="minorEastAsia"/>
          <w:bCs/>
          <w:color w:val="auto"/>
          <w:sz w:val="24"/>
          <w:szCs w:val="28"/>
          <w:highlight w:val="none"/>
        </w:rPr>
        <w:t xml:space="preserve">北京时间）前按要求递交投标文件</w:t>
      </w:r>
      <w:r>
        <w:rPr>
          <w:rFonts w:hint="eastAsia" w:asciiTheme="minorEastAsia" w:hAnsiTheme="minorEastAsia" w:eastAsiaTheme="minorEastAsia"/>
          <w:color w:val="auto"/>
          <w:sz w:val="24"/>
          <w:szCs w:val="28"/>
          <w:highlight w:val="none"/>
        </w:rPr>
        <w:t xml:space="preserve">。</w:t>
      </w:r>
      <w:r/>
    </w:p>
    <w:p>
      <w:pPr>
        <w:pStyle w:val="755"/>
        <w:ind w:left="-142"/>
        <w:jc w:val="both"/>
        <w:spacing w:line="360" w:lineRule="auto"/>
        <w:rPr>
          <w:rFonts w:cs="宋体" w:asciiTheme="minorEastAsia" w:hAnsiTheme="minorEastAsia" w:eastAsiaTheme="minorEastAsia"/>
          <w:b w:val="0"/>
          <w:color w:val="auto"/>
          <w:sz w:val="24"/>
          <w:szCs w:val="28"/>
          <w:highlight w:val="none"/>
        </w:rPr>
      </w:pPr>
      <w:r/>
      <w:bookmarkStart w:id="9" w:name="_Toc35393621"/>
      <w:r/>
      <w:bookmarkStart w:id="10" w:name="_Toc28359079"/>
      <w:r/>
      <w:bookmarkStart w:id="11" w:name="_Toc28359002"/>
      <w:r/>
      <w:bookmarkStart w:id="12" w:name="_Toc35393790"/>
      <w:r/>
      <w:bookmarkStart w:id="13" w:name="_Hlk24379207"/>
      <w:r>
        <w:rPr>
          <w:rFonts w:hint="eastAsia" w:cs="宋体" w:asciiTheme="minorEastAsia" w:hAnsiTheme="minorEastAsia" w:eastAsiaTheme="minorEastAsia"/>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项目编号：JSZC-321183-ZDDL-G2026-0004</w:t>
      </w:r>
      <w:r/>
    </w:p>
    <w:p>
      <w:pPr>
        <w:ind w:left="479"/>
        <w:spacing w:line="360" w:lineRule="auto"/>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项目名称：</w:t>
      </w:r>
      <w:bookmarkEnd w:id="13"/>
      <w:r>
        <w:rPr>
          <w:rFonts w:hint="eastAsia" w:asciiTheme="minorEastAsia" w:hAnsiTheme="minorEastAsia" w:eastAsiaTheme="minorEastAsia"/>
          <w:color w:val="auto"/>
          <w:sz w:val="24"/>
          <w:szCs w:val="28"/>
          <w:highlight w:val="none"/>
          <w:lang w:eastAsia="zh-CN"/>
        </w:rPr>
        <w:t xml:space="preserve">句容市琅琊实验学校专用教室教学设备采购</w:t>
      </w:r>
      <w:r/>
    </w:p>
    <w:p>
      <w:pPr>
        <w:ind w:left="479"/>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预算金额：</w:t>
      </w:r>
      <w:r>
        <w:rPr>
          <w:rFonts w:hint="eastAsia" w:asciiTheme="minorEastAsia" w:hAnsiTheme="minorEastAsia" w:eastAsiaTheme="minorEastAsia"/>
          <w:color w:val="auto"/>
          <w:sz w:val="24"/>
          <w:szCs w:val="28"/>
          <w:highlight w:val="none"/>
          <w:lang w:val="en-US" w:eastAsia="zh-CN"/>
        </w:rPr>
        <w:t xml:space="preserve">200</w:t>
      </w:r>
      <w:r>
        <w:rPr>
          <w:rFonts w:hint="eastAsia" w:asciiTheme="minorEastAsia" w:hAnsiTheme="minorEastAsia" w:eastAsiaTheme="minorEastAsia"/>
          <w:color w:val="auto"/>
          <w:sz w:val="24"/>
          <w:szCs w:val="28"/>
          <w:highlight w:val="none"/>
        </w:rPr>
        <w:t xml:space="preserve">万元</w:t>
      </w:r>
      <w:r/>
    </w:p>
    <w:p>
      <w:pPr>
        <w:ind w:left="479"/>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最高限价：</w:t>
      </w:r>
      <w:r>
        <w:rPr>
          <w:rFonts w:hint="eastAsia" w:asciiTheme="minorEastAsia" w:hAnsiTheme="minorEastAsia" w:eastAsiaTheme="minorEastAsia"/>
          <w:color w:val="auto"/>
          <w:sz w:val="24"/>
          <w:szCs w:val="28"/>
          <w:highlight w:val="none"/>
          <w:lang w:val="en-US" w:eastAsia="zh-CN"/>
        </w:rPr>
        <w:t xml:space="preserve">200</w:t>
      </w:r>
      <w:r>
        <w:rPr>
          <w:rFonts w:hint="eastAsia" w:asciiTheme="minorEastAsia" w:hAnsiTheme="minorEastAsia" w:eastAsiaTheme="minorEastAsia"/>
          <w:color w:val="auto"/>
          <w:sz w:val="24"/>
          <w:szCs w:val="28"/>
          <w:highlight w:val="none"/>
        </w:rPr>
        <w:t xml:space="preserve">万元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8"/>
          <w:highlight w:val="none"/>
        </w:rPr>
        <w:t xml:space="preserve">采购需求：详细内容及要求见招标文件。</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合同履行期限：20天（详细内容及要求见第四部分采购需求）。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本项目是否接受联合体投标：不接受联合体。</w:t>
      </w:r>
      <w:r/>
    </w:p>
    <w:p>
      <w:pPr>
        <w:pStyle w:val="755"/>
        <w:ind w:left="-142"/>
        <w:jc w:val="both"/>
        <w:spacing w:line="360" w:lineRule="auto"/>
        <w:rPr>
          <w:rFonts w:cs="宋体" w:asciiTheme="minorEastAsia" w:hAnsiTheme="minorEastAsia" w:eastAsiaTheme="minorEastAsia"/>
          <w:b w:val="0"/>
          <w:color w:val="auto"/>
          <w:sz w:val="24"/>
          <w:szCs w:val="28"/>
          <w:highlight w:val="none"/>
        </w:rPr>
      </w:pPr>
      <w:r/>
      <w:bookmarkStart w:id="14" w:name="_Toc28359080"/>
      <w:r/>
      <w:bookmarkStart w:id="15" w:name="_Toc35393791"/>
      <w:r/>
      <w:bookmarkStart w:id="16" w:name="_Toc35393622"/>
      <w:r/>
      <w:bookmarkStart w:id="17" w:name="_Toc28359003"/>
      <w:r>
        <w:rPr>
          <w:rFonts w:hint="eastAsia" w:cs="宋体" w:asciiTheme="minorEastAsia" w:hAnsiTheme="minorEastAsia" w:eastAsiaTheme="minorEastAsia"/>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Theme="minorEastAsia" w:hAnsiTheme="minorEastAsia" w:eastAsiaTheme="minorEastAsia"/>
          <w:color w:val="auto"/>
          <w:sz w:val="24"/>
          <w:szCs w:val="28"/>
          <w:highlight w:val="none"/>
        </w:rPr>
      </w:pPr>
      <w:r/>
      <w:bookmarkStart w:id="18" w:name="_Toc35393792"/>
      <w:r/>
      <w:bookmarkStart w:id="19" w:name="_Toc28359004"/>
      <w:r/>
      <w:bookmarkStart w:id="20" w:name="_Toc28359081"/>
      <w:r/>
      <w:bookmarkStart w:id="21" w:name="_Toc35393623"/>
      <w:r>
        <w:rPr>
          <w:rFonts w:hint="eastAsia" w:asciiTheme="minorEastAsia" w:hAnsiTheme="minorEastAsia" w:eastAsiaTheme="minorEastAsia"/>
          <w:color w:val="auto"/>
          <w:sz w:val="24"/>
          <w:szCs w:val="28"/>
          <w:highlight w:val="none"/>
        </w:rPr>
        <w:t xml:space="preserve">1.满足《中华人民共和国政府采购法》第二十二条规定：</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1.6法律、行政法规规定的其他条件：</w:t>
      </w:r>
      <w:r>
        <w:rPr>
          <w:rFonts w:hint="eastAsia" w:asciiTheme="minorEastAsia" w:hAnsiTheme="minorEastAsia" w:eastAsiaTheme="minorEastAsia"/>
          <w:b w:val="0"/>
          <w:bCs/>
          <w:color w:val="auto"/>
          <w:sz w:val="24"/>
          <w:szCs w:val="28"/>
          <w:highlight w:val="none"/>
        </w:rPr>
        <w:t xml:space="preserve">无</w:t>
      </w:r>
      <w:r/>
    </w:p>
    <w:p>
      <w:pPr>
        <w:ind w:firstLine="480"/>
        <w:spacing w:line="360" w:lineRule="auto"/>
        <w:rPr>
          <w:rFonts w:hint="eastAsia"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color w:val="auto"/>
          <w:sz w:val="24"/>
          <w:szCs w:val="28"/>
          <w:highlight w:val="none"/>
        </w:rPr>
        <w:t xml:space="preserve">2.落实政府采购政策需满足的资格要求：</w:t>
      </w:r>
      <w:r>
        <w:rPr>
          <w:rFonts w:hint="eastAsia" w:asciiTheme="minorEastAsia" w:hAnsiTheme="minorEastAsia" w:eastAsiaTheme="minorEastAsia"/>
          <w:color w:val="auto"/>
          <w:sz w:val="24"/>
          <w:szCs w:val="28"/>
          <w:highlight w:val="none"/>
          <w:lang w:val="en-US" w:eastAsia="zh-CN"/>
        </w:rPr>
        <w:t xml:space="preserve">无</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3.本项目的特定资格要求：无</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4.拒绝下述供应商参加本次采购活动： </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755"/>
        <w:ind w:left="-142"/>
        <w:jc w:val="both"/>
        <w:spacing w:line="360" w:lineRule="auto"/>
        <w:rPr>
          <w:rFonts w:cs="宋体" w:asciiTheme="minorEastAsia" w:hAnsiTheme="minorEastAsia" w:eastAsiaTheme="minorEastAsia"/>
          <w:b w:val="0"/>
          <w:color w:val="auto"/>
          <w:sz w:val="24"/>
          <w:szCs w:val="28"/>
          <w:highlight w:val="none"/>
        </w:rPr>
      </w:pPr>
      <w:r>
        <w:rPr>
          <w:rFonts w:hint="eastAsia" w:cs="宋体" w:asciiTheme="minorEastAsia" w:hAnsiTheme="minorEastAsia" w:eastAsiaTheme="minorEastAsia"/>
          <w:b w:val="0"/>
          <w:color w:val="auto"/>
          <w:sz w:val="24"/>
          <w:szCs w:val="28"/>
          <w:highlight w:val="none"/>
        </w:rPr>
        <w:t xml:space="preserve">三、获取招标文件</w:t>
      </w:r>
      <w:bookmarkEnd w:id="18"/>
      <w:r/>
      <w:bookmarkEnd w:id="19"/>
      <w:r/>
      <w:bookmarkEnd w:id="20"/>
      <w:r/>
      <w:bookmarkEnd w:id="21"/>
      <w:r/>
      <w:r/>
    </w:p>
    <w:p>
      <w:pPr>
        <w:ind w:firstLine="480"/>
        <w:spacing w:line="360" w:lineRule="auto"/>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获取时间：自招标文件公告发布之日起5个工作日</w:t>
      </w:r>
      <w:r>
        <w:rPr>
          <w:rFonts w:hint="eastAsia" w:asciiTheme="minorEastAsia" w:hAnsiTheme="minorEastAsia" w:eastAsiaTheme="minorEastAsia"/>
          <w:color w:val="auto"/>
          <w:sz w:val="24"/>
          <w:szCs w:val="28"/>
          <w:highlight w:val="none"/>
          <w:lang w:eastAsia="zh-CN"/>
        </w:rPr>
        <w:t xml:space="preserve">。</w:t>
      </w:r>
      <w:r/>
    </w:p>
    <w:p>
      <w:pPr>
        <w:ind w:firstLine="480"/>
        <w:spacing w:line="360" w:lineRule="auto"/>
        <w:rPr>
          <w:rFonts w:asciiTheme="minorEastAsia" w:hAnsiTheme="minorEastAsia" w:eastAsiaTheme="minorEastAsia"/>
          <w:i/>
          <w:iCs/>
          <w:color w:val="auto"/>
          <w:sz w:val="24"/>
          <w:szCs w:val="28"/>
          <w:highlight w:val="none"/>
        </w:rPr>
      </w:pPr>
      <w:r>
        <w:rPr>
          <w:rFonts w:hint="eastAsia" w:asciiTheme="minorEastAsia" w:hAnsiTheme="minorEastAsia" w:eastAsiaTheme="minorEastAsia"/>
          <w:color w:val="auto"/>
          <w:sz w:val="24"/>
          <w:szCs w:val="28"/>
          <w:highlight w:val="none"/>
        </w:rPr>
        <w:t xml:space="preserve">获取地点：</w:t>
      </w:r>
      <w:r>
        <w:rPr>
          <w:rFonts w:hint="eastAsia" w:ascii="宋体" w:hAnsi="宋体" w:eastAsia="宋体" w:cs="宋体"/>
          <w:color w:val="auto"/>
          <w:sz w:val="24"/>
          <w:szCs w:val="28"/>
          <w:highlight w:val="none"/>
        </w:rPr>
        <w:t xml:space="preserve">江苏政府采购网-苏采云电子交易平台</w:t>
      </w:r>
      <w:r/>
    </w:p>
    <w:p>
      <w:pPr>
        <w:ind w:left="479"/>
        <w:jc w:val="left"/>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获取方式：</w:t>
      </w:r>
      <w:r>
        <w:rPr>
          <w:rFonts w:hint="eastAsia" w:ascii="宋体" w:hAnsi="宋体" w:eastAsia="宋体" w:cs="宋体"/>
          <w:color w:val="auto"/>
          <w:sz w:val="24"/>
          <w:szCs w:val="28"/>
          <w:highlight w:val="none"/>
        </w:rPr>
        <w:t xml:space="preserve">在线获取（“苏采云”系统用户注册--获取“CA数字证书”--CA绑定与登录--网上报名--下载招标文件，</w:t>
      </w:r>
      <w:bookmarkStart w:id="22" w:name="_Hlk153292470"/>
      <w:r>
        <w:rPr>
          <w:rFonts w:hint="eastAsia" w:ascii="宋体" w:hAnsi="宋体" w:eastAsia="宋体" w:cs="宋体"/>
          <w:color w:val="auto"/>
          <w:sz w:val="24"/>
          <w:szCs w:val="28"/>
          <w:highlight w:val="none"/>
        </w:rPr>
        <w:t xml:space="preserve">具体操作详见“苏采云”系统供应商操作指南</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http://www.ccgp-jiangsu.gov.cn/jiangsu/zlxz/ee/ee3a4bc5a3454aa2b0d9312230633ce9.html</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bookmarkEnd w:id="22"/>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采购文件售价：免费</w:t>
      </w:r>
      <w:r/>
    </w:p>
    <w:p>
      <w:pPr>
        <w:pStyle w:val="755"/>
        <w:ind w:left="-142"/>
        <w:jc w:val="both"/>
        <w:spacing w:line="360" w:lineRule="auto"/>
        <w:rPr>
          <w:rFonts w:cs="宋体" w:asciiTheme="minorEastAsia" w:hAnsiTheme="minorEastAsia" w:eastAsiaTheme="minorEastAsia"/>
          <w:b w:val="0"/>
          <w:color w:val="auto"/>
          <w:sz w:val="24"/>
          <w:szCs w:val="28"/>
          <w:highlight w:val="none"/>
        </w:rPr>
      </w:pPr>
      <w:r/>
      <w:bookmarkStart w:id="23" w:name="_Toc28359082"/>
      <w:r/>
      <w:bookmarkStart w:id="24" w:name="_Toc28359005"/>
      <w:r/>
      <w:bookmarkStart w:id="25" w:name="_Toc35393624"/>
      <w:r/>
      <w:bookmarkStart w:id="26" w:name="_Toc35393793"/>
      <w:r>
        <w:rPr>
          <w:rFonts w:hint="eastAsia" w:cs="宋体" w:asciiTheme="minorEastAsia" w:hAnsiTheme="minorEastAsia" w:eastAsiaTheme="minorEastAsia"/>
          <w:b w:val="0"/>
          <w:color w:val="auto"/>
          <w:sz w:val="24"/>
          <w:szCs w:val="28"/>
          <w:highlight w:val="none"/>
        </w:rPr>
        <w:t xml:space="preserve">四、</w:t>
      </w:r>
      <w:bookmarkEnd w:id="23"/>
      <w:r/>
      <w:bookmarkEnd w:id="24"/>
      <w:r/>
      <w:bookmarkEnd w:id="25"/>
      <w:r/>
      <w:bookmarkEnd w:id="26"/>
      <w:r>
        <w:rPr>
          <w:rFonts w:hint="eastAsia" w:cs="宋体" w:asciiTheme="minorEastAsia" w:hAnsiTheme="minorEastAsia" w:eastAsiaTheme="minorEastAsia"/>
          <w:b w:val="0"/>
          <w:color w:val="auto"/>
          <w:sz w:val="24"/>
          <w:szCs w:val="28"/>
          <w:highlight w:val="none"/>
        </w:rPr>
        <w:t xml:space="preserve">提交投标文件截止时间、开标时间和地点</w:t>
      </w:r>
      <w:r/>
    </w:p>
    <w:p>
      <w:pPr>
        <w:ind w:firstLine="480"/>
        <w:spacing w:line="360" w:lineRule="auto"/>
        <w:rPr>
          <w:rFonts w:asciiTheme="minorEastAsia" w:hAnsiTheme="minorEastAsia" w:eastAsiaTheme="minorEastAsia"/>
          <w:bCs/>
          <w:color w:val="auto"/>
          <w:sz w:val="24"/>
          <w:szCs w:val="28"/>
          <w:highlight w:val="none"/>
          <w:u w:val="single"/>
        </w:rPr>
      </w:pPr>
      <w:r>
        <w:rPr>
          <w:rFonts w:hint="eastAsia" w:asciiTheme="minorEastAsia" w:hAnsiTheme="minorEastAsia" w:eastAsiaTheme="minorEastAsia"/>
          <w:bCs/>
          <w:color w:val="auto"/>
          <w:sz w:val="24"/>
          <w:szCs w:val="28"/>
          <w:highlight w:val="none"/>
        </w:rPr>
        <w:t xml:space="preserve">提交截止时间及开标时间：</w:t>
      </w:r>
      <w:r>
        <w:rPr>
          <w:rFonts w:hint="eastAsia" w:asciiTheme="minorEastAsia" w:hAnsiTheme="minorEastAsia" w:eastAsiaTheme="minorEastAsia"/>
          <w:bCs/>
          <w:color w:val="auto"/>
          <w:sz w:val="24"/>
          <w:szCs w:val="28"/>
          <w:highlight w:val="none"/>
          <w:u w:val="single"/>
        </w:rPr>
        <w:t xml:space="preserve">2026年</w:t>
      </w:r>
      <w:r>
        <w:rPr>
          <w:rFonts w:hint="eastAsia" w:asciiTheme="minorEastAsia" w:hAnsiTheme="minorEastAsia" w:eastAsiaTheme="minorEastAsia"/>
          <w:bCs/>
          <w:color w:val="auto"/>
          <w:sz w:val="24"/>
          <w:szCs w:val="28"/>
          <w:highlight w:val="none"/>
          <w:u w:val="single"/>
          <w:lang w:val="en-US" w:eastAsia="zh-CN"/>
        </w:rPr>
        <w:t xml:space="preserve">08</w:t>
      </w:r>
      <w:r>
        <w:rPr>
          <w:rFonts w:hint="eastAsia" w:asciiTheme="minorEastAsia" w:hAnsiTheme="minorEastAsia" w:eastAsiaTheme="minorEastAsia"/>
          <w:bCs/>
          <w:color w:val="auto"/>
          <w:sz w:val="24"/>
          <w:szCs w:val="28"/>
          <w:highlight w:val="none"/>
          <w:u w:val="single"/>
        </w:rPr>
        <w:t xml:space="preserve">月</w:t>
      </w:r>
      <w:r>
        <w:rPr>
          <w:rFonts w:hint="eastAsia" w:asciiTheme="minorEastAsia" w:hAnsiTheme="minorEastAsia" w:eastAsiaTheme="minorEastAsia"/>
          <w:bCs/>
          <w:color w:val="auto"/>
          <w:sz w:val="24"/>
          <w:szCs w:val="28"/>
          <w:highlight w:val="none"/>
          <w:u w:val="single"/>
          <w:lang w:val="en-US" w:eastAsia="zh-CN"/>
        </w:rPr>
        <w:t xml:space="preserve">11</w:t>
      </w:r>
      <w:r>
        <w:rPr>
          <w:rFonts w:hint="eastAsia" w:asciiTheme="minorEastAsia" w:hAnsiTheme="minorEastAsia" w:eastAsiaTheme="minorEastAsia"/>
          <w:bCs/>
          <w:color w:val="auto"/>
          <w:sz w:val="24"/>
          <w:szCs w:val="28"/>
          <w:highlight w:val="none"/>
          <w:u w:val="single"/>
        </w:rPr>
        <w:t xml:space="preserve">日09点00分</w:t>
      </w:r>
      <w:r>
        <w:rPr>
          <w:rFonts w:hint="eastAsia" w:asciiTheme="minorEastAsia" w:hAnsiTheme="minorEastAsia" w:eastAsiaTheme="minorEastAsia"/>
          <w:bCs/>
          <w:color w:val="auto"/>
          <w:sz w:val="24"/>
          <w:szCs w:val="28"/>
          <w:highlight w:val="none"/>
        </w:rPr>
        <w:t xml:space="preserve">（北京时间）</w:t>
      </w:r>
      <w:r/>
    </w:p>
    <w:p>
      <w:pPr>
        <w:ind w:firstLine="480"/>
        <w:spacing w:line="360" w:lineRule="auto"/>
        <w:rPr>
          <w:rFonts w:hint="eastAsia" w:asciiTheme="minorEastAsia" w:hAnsiTheme="minorEastAsia" w:eastAsiaTheme="minorEastAsia"/>
          <w:color w:val="auto"/>
          <w:sz w:val="24"/>
          <w:szCs w:val="28"/>
          <w:highlight w:val="none"/>
          <w:lang w:eastAsia="zh-CN"/>
        </w:rPr>
      </w:pPr>
      <w:r>
        <w:rPr>
          <w:rFonts w:hint="eastAsia" w:asciiTheme="minorEastAsia" w:hAnsiTheme="minorEastAsia" w:eastAsiaTheme="minorEastAsia"/>
          <w:color w:val="auto"/>
          <w:sz w:val="24"/>
          <w:szCs w:val="28"/>
          <w:highlight w:val="none"/>
        </w:rPr>
        <w:t xml:space="preserve">开标地点：“苏采云”系统（网址：http://jszfcg.jsczt.cn/）“开标大厅”</w:t>
      </w:r>
      <w:r>
        <w:rPr>
          <w:rFonts w:hint="eastAsia" w:asciiTheme="minorEastAsia" w:hAnsiTheme="minorEastAsia" w:eastAsiaTheme="minorEastAsia"/>
          <w:color w:val="auto"/>
          <w:sz w:val="24"/>
          <w:szCs w:val="28"/>
          <w:highlight w:val="none"/>
          <w:lang w:eastAsia="zh-CN"/>
        </w:rPr>
        <w:t xml:space="preserve">。</w:t>
      </w:r>
      <w:r/>
    </w:p>
    <w:p>
      <w:pPr>
        <w:pStyle w:val="755"/>
        <w:ind w:left="-142"/>
        <w:jc w:val="both"/>
        <w:spacing w:line="360" w:lineRule="auto"/>
        <w:rPr>
          <w:rFonts w:cs="宋体" w:asciiTheme="minorEastAsia" w:hAnsiTheme="minorEastAsia" w:eastAsiaTheme="minorEastAsia"/>
          <w:b w:val="0"/>
          <w:bCs/>
          <w:color w:val="auto"/>
          <w:sz w:val="24"/>
          <w:szCs w:val="28"/>
          <w:highlight w:val="none"/>
        </w:rPr>
      </w:pPr>
      <w:r/>
      <w:bookmarkStart w:id="27" w:name="_Toc28359007"/>
      <w:r/>
      <w:bookmarkStart w:id="28" w:name="_Toc35393794"/>
      <w:r/>
      <w:bookmarkStart w:id="29" w:name="_Toc28359084"/>
      <w:r/>
      <w:bookmarkStart w:id="30" w:name="_Toc35393625"/>
      <w:r>
        <w:rPr>
          <w:rFonts w:hint="eastAsia" w:cs="宋体" w:asciiTheme="minorEastAsia" w:hAnsiTheme="minorEastAsia" w:eastAsiaTheme="minorEastAsia"/>
          <w:b w:val="0"/>
          <w:bCs/>
          <w:color w:val="auto"/>
          <w:sz w:val="24"/>
          <w:szCs w:val="28"/>
          <w:highlight w:val="none"/>
        </w:rPr>
        <w:t xml:space="preserve">五、公告期限</w:t>
      </w:r>
      <w:bookmarkEnd w:id="27"/>
      <w:r/>
      <w:bookmarkEnd w:id="28"/>
      <w:r/>
      <w:bookmarkEnd w:id="29"/>
      <w:r/>
      <w:bookmarkEnd w:id="30"/>
      <w:r/>
      <w:r/>
    </w:p>
    <w:p>
      <w:pPr>
        <w:ind w:firstLine="480"/>
        <w:spacing w:line="360" w:lineRule="auto"/>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自本公告发布之日起5个工作日。</w:t>
      </w:r>
      <w:r/>
    </w:p>
    <w:p>
      <w:pPr>
        <w:pStyle w:val="755"/>
        <w:ind w:left="-142"/>
        <w:jc w:val="both"/>
        <w:spacing w:line="360" w:lineRule="auto"/>
        <w:rPr>
          <w:rFonts w:cs="宋体" w:asciiTheme="minorEastAsia" w:hAnsiTheme="minorEastAsia" w:eastAsiaTheme="minorEastAsia"/>
          <w:color w:val="auto"/>
          <w:sz w:val="24"/>
          <w:szCs w:val="28"/>
          <w:highlight w:val="none"/>
        </w:rPr>
      </w:pPr>
      <w:r/>
      <w:bookmarkStart w:id="31" w:name="_Toc35393626"/>
      <w:r/>
      <w:bookmarkStart w:id="32" w:name="_Toc35393795"/>
      <w:r>
        <w:rPr>
          <w:rFonts w:hint="eastAsia" w:cs="宋体" w:asciiTheme="minorEastAsia" w:hAnsiTheme="minorEastAsia" w:eastAsiaTheme="minorEastAsia"/>
          <w:b w:val="0"/>
          <w:color w:val="auto"/>
          <w:sz w:val="24"/>
          <w:szCs w:val="28"/>
          <w:highlight w:val="none"/>
        </w:rPr>
        <w:t xml:space="preserve">六、其他补充事宜</w:t>
      </w:r>
      <w:bookmarkEnd w:id="31"/>
      <w:r/>
      <w:bookmarkEnd w:id="32"/>
      <w:r/>
      <w:bookmarkStart w:id="33" w:name="_Toc35393627"/>
      <w:r/>
      <w:bookmarkStart w:id="34" w:name="_Toc35393796"/>
      <w:r/>
      <w:bookmarkStart w:id="35" w:name="_Toc28359085"/>
      <w:r/>
      <w:bookmarkStart w:id="36" w:name="_Toc28359008"/>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宋体"/>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4.因投标人自身软硬件配备不齐全或发生故障等问题而导致在交互过程中出现不稳定或中断等情况的，由投标人自身承担一切后果。</w:t>
      </w:r>
      <w:r/>
    </w:p>
    <w:p>
      <w:pPr>
        <w:pStyle w:val="1627"/>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5.有关本次招标的事项若存在变动或修改，敬请及时关注江苏政府采购网的更正公告。</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ascii="宋体" w:hAnsi="宋体" w:eastAsia="宋体" w:cs="宋体"/>
          <w:color w:val="auto"/>
          <w:sz w:val="24"/>
          <w:szCs w:val="28"/>
          <w:highlight w:val="none"/>
        </w:rPr>
        <w:t xml:space="preserve">6.本次招标不收取投标保证金</w:t>
      </w:r>
      <w:r>
        <w:rPr>
          <w:rFonts w:hint="eastAsia" w:cs="宋体" w:asciiTheme="minorEastAsia" w:hAnsiTheme="minorEastAsia" w:eastAsiaTheme="minorEastAsia"/>
          <w:color w:val="auto"/>
          <w:sz w:val="24"/>
          <w:szCs w:val="28"/>
          <w:highlight w:val="none"/>
        </w:rPr>
        <w:t xml:space="preserve">。</w:t>
      </w:r>
      <w:r/>
    </w:p>
    <w:p>
      <w:pPr>
        <w:pStyle w:val="755"/>
        <w:ind w:left="-142"/>
        <w:jc w:val="both"/>
        <w:spacing w:line="360" w:lineRule="auto"/>
        <w:rPr>
          <w:rFonts w:cs="宋体" w:asciiTheme="minorEastAsia" w:hAnsiTheme="minorEastAsia" w:eastAsiaTheme="minorEastAsia"/>
          <w:b w:val="0"/>
          <w:color w:val="auto"/>
          <w:sz w:val="24"/>
          <w:szCs w:val="28"/>
          <w:highlight w:val="none"/>
        </w:rPr>
      </w:pPr>
      <w:r>
        <w:rPr>
          <w:rFonts w:hint="eastAsia" w:cs="宋体" w:asciiTheme="minorEastAsia" w:hAnsiTheme="minorEastAsia" w:eastAsiaTheme="minorEastAsia"/>
          <w:b w:val="0"/>
          <w:color w:val="auto"/>
          <w:sz w:val="24"/>
          <w:szCs w:val="28"/>
          <w:highlight w:val="none"/>
        </w:rPr>
        <w:t xml:space="preserve">七、对本次招标提出询问，请按以下方式联系。</w:t>
      </w:r>
      <w:bookmarkEnd w:id="33"/>
      <w:r/>
      <w:bookmarkEnd w:id="34"/>
      <w:r/>
      <w:bookmarkEnd w:id="35"/>
      <w:r/>
      <w:bookmarkEnd w:id="36"/>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bookmarkStart w:id="37" w:name="_Toc28359086"/>
      <w:r/>
      <w:bookmarkStart w:id="38" w:name="_Toc28359009"/>
      <w:r>
        <w:rPr>
          <w:rFonts w:hint="eastAsia" w:cs="宋体" w:asciiTheme="minorEastAsia" w:hAnsiTheme="minorEastAsia" w:eastAsiaTheme="minorEastAsia"/>
          <w:color w:val="auto"/>
          <w:sz w:val="24"/>
          <w:szCs w:val="28"/>
          <w:highlight w:val="none"/>
        </w:rPr>
        <w:t xml:space="preserve">1.采购人信息</w:t>
      </w:r>
      <w:r/>
    </w:p>
    <w:p>
      <w:pPr>
        <w:pStyle w:val="1627"/>
        <w:ind w:firstLine="482"/>
        <w:jc w:val="left"/>
        <w:spacing w:line="360" w:lineRule="auto"/>
        <w:widowControl/>
        <w:rPr>
          <w:rFonts w:hint="eastAsia" w:cs="宋体" w:asciiTheme="minorEastAsia" w:hAnsiTheme="minorEastAsia" w:eastAsiaTheme="minorEastAsia"/>
          <w:color w:val="auto"/>
          <w:sz w:val="24"/>
          <w:szCs w:val="28"/>
          <w:highlight w:val="none"/>
          <w:lang w:eastAsia="zh-CN"/>
        </w:rPr>
      </w:pPr>
      <w:r>
        <w:rPr>
          <w:rFonts w:hint="eastAsia" w:cs="宋体" w:asciiTheme="minorEastAsia" w:hAnsiTheme="minorEastAsia" w:eastAsiaTheme="minorEastAsia"/>
          <w:color w:val="auto"/>
          <w:sz w:val="24"/>
          <w:szCs w:val="28"/>
          <w:highlight w:val="none"/>
        </w:rPr>
        <w:t xml:space="preserve">名 称：</w:t>
      </w:r>
      <w:r>
        <w:rPr>
          <w:rFonts w:hint="eastAsia" w:cs="宋体" w:asciiTheme="minorEastAsia" w:hAnsiTheme="minorEastAsia" w:eastAsiaTheme="minorEastAsia"/>
          <w:color w:val="auto"/>
          <w:sz w:val="24"/>
          <w:szCs w:val="28"/>
          <w:highlight w:val="none"/>
          <w:lang w:eastAsia="zh-CN"/>
        </w:rPr>
        <w:t xml:space="preserve">句容市琅琊实验学校</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地 址：江苏省镇江市句容市黄梅镇原黄梅中心小学</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2.采购代理机构信息</w:t>
      </w:r>
      <w:bookmarkEnd w:id="37"/>
      <w:r/>
      <w:bookmarkEnd w:id="38"/>
      <w:r/>
      <w:r/>
    </w:p>
    <w:p>
      <w:pPr>
        <w:pStyle w:val="1627"/>
        <w:ind w:firstLine="482"/>
        <w:jc w:val="left"/>
        <w:spacing w:line="360" w:lineRule="auto"/>
        <w:widowControl/>
        <w:rPr>
          <w:rFonts w:hint="default" w:cs="宋体" w:asciiTheme="minorEastAsia" w:hAnsiTheme="minorEastAsia" w:eastAsiaTheme="minorEastAsia"/>
          <w:color w:val="auto"/>
          <w:sz w:val="24"/>
          <w:szCs w:val="28"/>
          <w:highlight w:val="none"/>
          <w:lang w:val="en-US" w:eastAsia="zh-CN"/>
        </w:rPr>
      </w:pPr>
      <w:r>
        <w:rPr>
          <w:rFonts w:hint="eastAsia" w:cs="宋体" w:asciiTheme="minorEastAsia" w:hAnsiTheme="minorEastAsia" w:eastAsiaTheme="minorEastAsia"/>
          <w:color w:val="auto"/>
          <w:sz w:val="24"/>
          <w:szCs w:val="28"/>
          <w:highlight w:val="none"/>
        </w:rPr>
        <w:t xml:space="preserve">名 称：</w:t>
      </w:r>
      <w:r>
        <w:rPr>
          <w:rFonts w:hint="eastAsia" w:cs="宋体" w:asciiTheme="minorEastAsia" w:hAnsiTheme="minorEastAsia" w:eastAsiaTheme="minorEastAsia"/>
          <w:color w:val="auto"/>
          <w:sz w:val="24"/>
          <w:szCs w:val="28"/>
          <w:highlight w:val="none"/>
          <w:lang w:val="en-US" w:eastAsia="zh-CN"/>
        </w:rPr>
        <w:t xml:space="preserve">江苏正德建设管理有限公司</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地 址：</w:t>
      </w:r>
      <w:r>
        <w:rPr>
          <w:rFonts w:hint="eastAsia" w:cs="宋体" w:asciiTheme="minorEastAsia" w:hAnsiTheme="minorEastAsia" w:eastAsiaTheme="minorEastAsia"/>
          <w:color w:val="auto"/>
          <w:sz w:val="24"/>
          <w:szCs w:val="28"/>
          <w:highlight w:val="none"/>
          <w:lang w:eastAsia="zh-CN"/>
        </w:rPr>
        <w:t xml:space="preserve">丹阳市开发区兰陵路9号丽都公寓1幢1513室</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联系方式：</w:t>
      </w:r>
      <w:bookmarkStart w:id="39" w:name="OLE_LINK42"/>
      <w:r/>
      <w:bookmarkStart w:id="40" w:name="OLE_LINK40"/>
      <w:r/>
      <w:bookmarkStart w:id="41" w:name="OLE_LINK41"/>
      <w:r>
        <w:rPr>
          <w:rFonts w:hint="eastAsia" w:cs="宋体" w:asciiTheme="minorEastAsia" w:hAnsiTheme="minorEastAsia" w:eastAsiaTheme="minorEastAsia"/>
          <w:color w:val="auto"/>
          <w:sz w:val="24"/>
          <w:szCs w:val="28"/>
          <w:highlight w:val="none"/>
        </w:rPr>
        <w:t xml:space="preserve">0511-</w:t>
      </w:r>
      <w:bookmarkEnd w:id="39"/>
      <w:r/>
      <w:bookmarkEnd w:id="40"/>
      <w:r/>
      <w:bookmarkEnd w:id="41"/>
      <w:r>
        <w:rPr>
          <w:rFonts w:hint="eastAsia" w:cs="宋体" w:asciiTheme="minorEastAsia" w:hAnsiTheme="minorEastAsia" w:eastAsiaTheme="minorEastAsia"/>
          <w:color w:val="auto"/>
          <w:sz w:val="24"/>
          <w:szCs w:val="28"/>
          <w:highlight w:val="none"/>
          <w:lang w:eastAsia="zh-CN"/>
        </w:rPr>
        <w:t xml:space="preserve">86131808</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3.项目联系方式</w:t>
      </w:r>
      <w:r/>
    </w:p>
    <w:p>
      <w:pPr>
        <w:pStyle w:val="1627"/>
        <w:ind w:firstLine="482"/>
        <w:jc w:val="left"/>
        <w:spacing w:line="360" w:lineRule="auto"/>
        <w:widowControl/>
        <w:rPr>
          <w:rFonts w:hint="eastAsia" w:cs="宋体" w:asciiTheme="minorEastAsia" w:hAnsiTheme="minorEastAsia" w:eastAsiaTheme="minorEastAsia"/>
          <w:color w:val="auto"/>
          <w:sz w:val="24"/>
          <w:szCs w:val="28"/>
          <w:highlight w:val="none"/>
          <w:lang w:eastAsia="zh-CN"/>
        </w:rPr>
      </w:pPr>
      <w:r>
        <w:rPr>
          <w:rFonts w:hint="eastAsia" w:cs="宋体" w:asciiTheme="minorEastAsia" w:hAnsiTheme="minorEastAsia" w:eastAsiaTheme="minorEastAsia"/>
          <w:color w:val="auto"/>
          <w:sz w:val="24"/>
          <w:szCs w:val="28"/>
          <w:highlight w:val="none"/>
        </w:rPr>
        <w:t xml:space="preserve">项目联系人：</w:t>
      </w:r>
      <w:r>
        <w:rPr>
          <w:rFonts w:hint="eastAsia" w:cs="宋体" w:asciiTheme="minorEastAsia" w:hAnsiTheme="minorEastAsia" w:eastAsiaTheme="minorEastAsia"/>
          <w:color w:val="auto"/>
          <w:sz w:val="24"/>
          <w:szCs w:val="28"/>
          <w:highlight w:val="none"/>
          <w:lang w:val="en-US" w:eastAsia="zh-CN"/>
        </w:rPr>
        <w:t xml:space="preserve">高旭明</w:t>
      </w:r>
      <w:r/>
    </w:p>
    <w:p>
      <w:pPr>
        <w:pStyle w:val="1627"/>
        <w:ind w:firstLine="482"/>
        <w:jc w:val="left"/>
        <w:spacing w:line="360" w:lineRule="auto"/>
        <w:widowControl/>
        <w:rPr>
          <w:rFonts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rPr>
        <w:t xml:space="preserve">电话：0511-</w:t>
      </w:r>
      <w:r>
        <w:rPr>
          <w:rFonts w:hint="eastAsia" w:cs="宋体" w:asciiTheme="minorEastAsia" w:hAnsiTheme="minorEastAsia" w:eastAsiaTheme="minorEastAsia"/>
          <w:color w:val="auto"/>
          <w:sz w:val="24"/>
          <w:szCs w:val="28"/>
          <w:highlight w:val="none"/>
          <w:lang w:eastAsia="zh-CN"/>
        </w:rPr>
        <w:t xml:space="preserve">86131808</w:t>
      </w:r>
      <w:bookmarkEnd w:id="4"/>
      <w:r/>
      <w:bookmarkEnd w:id="5"/>
      <w:r/>
      <w:bookmarkEnd w:id="6"/>
      <w:r/>
      <w:bookmarkEnd w:id="7"/>
      <w:r/>
      <w:bookmarkEnd w:id="8"/>
      <w:r/>
      <w:r/>
    </w:p>
    <w:p>
      <w:pPr>
        <w:ind w:left="1079" w:hanging="300"/>
        <w:jc w:val="left"/>
        <w:spacing w:line="360" w:lineRule="auto"/>
        <w:rPr>
          <w:rFonts w:cs="宋体" w:asciiTheme="minorEastAsia" w:hAnsiTheme="minorEastAsia" w:eastAsiaTheme="minorEastAsia"/>
          <w:color w:val="auto"/>
          <w:sz w:val="24"/>
          <w:szCs w:val="28"/>
          <w:highlight w:val="none"/>
        </w:rPr>
      </w:pPr>
      <w:r/>
      <w:bookmarkStart w:id="42" w:name="_Toc100386034"/>
      <w:r/>
      <w:bookmarkStart w:id="43" w:name="_Toc92168000"/>
      <w:r>
        <w:rPr>
          <w:rFonts w:hint="eastAsia" w:asciiTheme="minorEastAsia" w:hAnsiTheme="minorEastAsia" w:eastAsiaTheme="minorEastAsia"/>
          <w:color w:val="auto"/>
          <w:szCs w:val="32"/>
          <w:highlight w:val="none"/>
        </w:rPr>
        <w:br w:type="page" w:clear="all"/>
      </w:r>
      <w:r/>
    </w:p>
    <w:p>
      <w:pPr>
        <w:pStyle w:val="756"/>
        <w:jc w:val="center"/>
        <w:keepLines w:val="0"/>
        <w:keepNext w:val="0"/>
        <w:spacing w:before="0" w:after="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第二部分    投标人须知</w:t>
      </w:r>
      <w:r/>
    </w:p>
    <w:p>
      <w:pPr>
        <w:pStyle w:val="756"/>
        <w:jc w:val="center"/>
        <w:keepLines w:val="0"/>
        <w:keepNext w:val="0"/>
        <w:spacing w:before="0" w:after="0"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前附表</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序号</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事项</w:t>
            </w:r>
            <w:r/>
          </w:p>
        </w:tc>
        <w:tc>
          <w:tcPr>
            <w:tcW w:w="6135"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本项目规定</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报价要求</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本次投标报价的币种为人民币。</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投标人应按招标文件所提供的各报价表格式报价。</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投标人应对本项目报出最具有竞争力的价格，应包括本次招标要求提供的货物（服务）已支付或将支付的所有费用（含税费）。</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最低投标报价不能作为中标的保证。</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中标价即为合同签约价。</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如出现报价前后不一致的，将按招标文件第五部分“评标办法和标准”第5项规定进行修正。</w:t>
            </w:r>
            <w:r/>
          </w:p>
        </w:tc>
      </w:tr>
      <w:tr>
        <w:trPr>
          <w:trHeight w:val="1366"/>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2</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转包及分包</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项目依法不得转包</w:t>
            </w:r>
            <w:r/>
          </w:p>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A本项目不同意分包。</w:t>
            </w:r>
            <w:r/>
          </w:p>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B同意将非主体、非关键性的工作分包。投标人应当在投标文件中载明分包承担主体，分包承担主体应当具备相应资质条件且不得再次分包。</w:t>
            </w:r>
            <w:r>
              <w:rPr>
                <w:rFonts w:hint="eastAsia" w:asciiTheme="minorEastAsia" w:hAnsiTheme="minorEastAsia" w:eastAsiaTheme="minorEastAsia"/>
                <w:color w:val="auto"/>
                <w:sz w:val="24"/>
                <w:highlight w:val="none"/>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3</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开标前答疑会</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rPr>
              <w:t xml:space="preserve">A不组织</w:t>
            </w:r>
            <w:r/>
          </w:p>
          <w:p>
            <w:pPr>
              <w:pStyle w:val="766"/>
              <w:ind w:firstLine="0"/>
              <w:rPr>
                <w:rFonts w:cs="楷体" w:asciiTheme="minorEastAsia" w:hAnsiTheme="minorEastAsia" w:eastAsiaTheme="minorEastAsia"/>
                <w:color w:val="auto"/>
                <w:sz w:val="24"/>
                <w:highlight w:val="none"/>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rPr>
              <w:t xml:space="preserve">B组织</w:t>
            </w:r>
            <w:r/>
          </w:p>
        </w:tc>
      </w:tr>
      <w:tr>
        <w:trPr>
          <w:trHeight w:val="1366"/>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4</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现场踏勘</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A不统一组织</w:t>
            </w:r>
            <w:r/>
          </w:p>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B统一组织</w:t>
            </w:r>
            <w:r/>
          </w:p>
        </w:tc>
      </w:tr>
      <w:tr>
        <w:trPr>
          <w:trHeight w:val="1366"/>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5</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演示</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A无</w:t>
            </w:r>
            <w:r/>
          </w:p>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B有，本项目演示使用录播上传形式，各投标人自行将录播内容上传至苏采云平台。上传前请详细阅读苏采云操作指南。</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6</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样品</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A不要求提供。</w:t>
            </w:r>
            <w:r/>
          </w:p>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B要求提供</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（1）样品：111学生实验桌（陶瓷面板）、391电工工具箱（教师用）、461智能试剂柜、671数码液晶显微镜（学生机）；</w:t>
            </w:r>
            <w:r/>
          </w:p>
          <w:p>
            <w:pPr>
              <w:rPr>
                <w:rFonts w:cs="楷体" w:asciiTheme="minorEastAsia" w:hAnsiTheme="minorEastAsia" w:eastAsiaTheme="minorEastAsia"/>
                <w:color w:val="auto"/>
                <w:sz w:val="24"/>
                <w:highlight w:val="none"/>
                <w:u w:val="single"/>
              </w:rPr>
            </w:pPr>
            <w:r>
              <w:rPr>
                <w:rFonts w:hint="eastAsia" w:cs="楷体" w:asciiTheme="minorEastAsia" w:hAnsiTheme="minorEastAsia" w:eastAsiaTheme="minorEastAsia"/>
                <w:color w:val="auto"/>
                <w:sz w:val="24"/>
                <w:highlight w:val="none"/>
              </w:rPr>
              <w:t xml:space="preserve">（2）样品制作的标准和要求：详见</w:t>
            </w:r>
            <w:r>
              <w:rPr>
                <w:rFonts w:cs="楷体" w:asciiTheme="minorEastAsia" w:hAnsiTheme="minorEastAsia" w:eastAsiaTheme="minorEastAsia"/>
                <w:color w:val="auto"/>
                <w:sz w:val="24"/>
                <w:highlight w:val="none"/>
              </w:rPr>
              <w:t xml:space="preserve">采购需求</w:t>
            </w:r>
            <w:r>
              <w:rPr>
                <w:rFonts w:hint="eastAsia" w:cs="楷体" w:asciiTheme="minorEastAsia" w:hAnsiTheme="minorEastAsia" w:eastAsiaTheme="minorEastAsia"/>
                <w:color w:val="auto"/>
                <w:sz w:val="24"/>
                <w:highlight w:val="none"/>
              </w:rPr>
              <w:t xml:space="preserve">清单对应</w:t>
            </w:r>
            <w:r>
              <w:rPr>
                <w:rFonts w:hint="eastAsia" w:cs="楷体" w:asciiTheme="minorEastAsia" w:hAnsiTheme="minorEastAsia" w:eastAsiaTheme="minorEastAsia"/>
                <w:color w:val="auto"/>
                <w:sz w:val="24"/>
                <w:highlight w:val="none"/>
                <w:lang w:val="en-US" w:eastAsia="zh-CN"/>
              </w:rPr>
              <w:t xml:space="preserve">的</w:t>
            </w:r>
            <w:r>
              <w:rPr>
                <w:rFonts w:cs="楷体" w:asciiTheme="minorEastAsia" w:hAnsiTheme="minorEastAsia" w:eastAsiaTheme="minorEastAsia"/>
                <w:color w:val="auto"/>
                <w:sz w:val="24"/>
                <w:highlight w:val="none"/>
              </w:rPr>
              <w:t xml:space="preserve">产品</w:t>
            </w:r>
            <w:r>
              <w:rPr>
                <w:rFonts w:hint="eastAsia" w:cs="楷体" w:asciiTheme="minorEastAsia" w:hAnsiTheme="minorEastAsia" w:eastAsiaTheme="minorEastAsia"/>
                <w:color w:val="auto"/>
                <w:sz w:val="24"/>
                <w:highlight w:val="none"/>
              </w:rPr>
              <w:t xml:space="preserve">技术要求；</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（3）样品的评审方法以及评审标准：详见评标办法；</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（4）是否需要随样品提交检测报告：</w:t>
            </w:r>
            <w:bookmarkStart w:id="255" w:name="_GoBack"/>
            <w:r/>
            <w:bookmarkEnd w:id="255"/>
            <w:r>
              <w:rPr>
                <w:rFonts w:hint="eastAsia" w:ascii="MS Mincho" w:hAnsi="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rPr>
              <w:t xml:space="preserve">否；</w:t>
            </w:r>
            <w:r>
              <w:rPr>
                <w:rFonts w:hint="eastAsia" w:cs="Wingdings 2" w:asciiTheme="minorEastAsia" w:hAnsiTheme="minorEastAsia" w:eastAsiaTheme="minorEastAsia"/>
                <w:color w:val="auto"/>
                <w:sz w:val="24"/>
                <w:highlight w:val="none"/>
              </w:rPr>
              <w:t xml:space="preserve">□</w:t>
            </w:r>
            <w:r>
              <w:rPr>
                <w:rFonts w:hint="eastAsia" w:cs="楷体" w:asciiTheme="minorEastAsia" w:hAnsiTheme="minorEastAsia" w:eastAsiaTheme="minorEastAsia"/>
                <w:color w:val="auto"/>
                <w:sz w:val="24"/>
                <w:highlight w:val="none"/>
              </w:rPr>
              <w:t xml:space="preserve">是，检测机构的要求：无；检测内容：无。</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（5）提供样品的时间：2026年</w:t>
            </w:r>
            <w:r>
              <w:rPr>
                <w:rFonts w:hint="eastAsia" w:cs="楷体" w:asciiTheme="minorEastAsia" w:hAnsiTheme="minorEastAsia" w:eastAsiaTheme="minorEastAsia"/>
                <w:color w:val="auto"/>
                <w:sz w:val="24"/>
                <w:highlight w:val="none"/>
                <w:lang w:val="en-US" w:eastAsia="zh-CN"/>
              </w:rPr>
              <w:t xml:space="preserve">08</w:t>
            </w:r>
            <w:r>
              <w:rPr>
                <w:rFonts w:hint="eastAsia" w:cs="楷体" w:asciiTheme="minorEastAsia" w:hAnsiTheme="minorEastAsia" w:eastAsiaTheme="minorEastAsia"/>
                <w:color w:val="auto"/>
                <w:sz w:val="24"/>
                <w:highlight w:val="none"/>
              </w:rPr>
              <w:t xml:space="preserve">月</w:t>
            </w:r>
            <w:r>
              <w:rPr>
                <w:rFonts w:hint="eastAsia" w:cs="楷体" w:asciiTheme="minorEastAsia" w:hAnsiTheme="minorEastAsia" w:eastAsiaTheme="minorEastAsia"/>
                <w:color w:val="auto"/>
                <w:sz w:val="24"/>
                <w:highlight w:val="none"/>
                <w:lang w:val="en-US" w:eastAsia="zh-CN"/>
              </w:rPr>
              <w:t xml:space="preserve">10</w:t>
            </w:r>
            <w:r>
              <w:rPr>
                <w:rFonts w:hint="eastAsia" w:cs="楷体" w:asciiTheme="minorEastAsia" w:hAnsiTheme="minorEastAsia" w:eastAsiaTheme="minorEastAsia"/>
                <w:color w:val="auto"/>
                <w:sz w:val="24"/>
                <w:highlight w:val="none"/>
              </w:rPr>
              <w:t xml:space="preserve">日；</w:t>
            </w:r>
            <w:r>
              <w:rPr>
                <w:rFonts w:hint="eastAsia" w:cs="楷体" w:asciiTheme="minorEastAsia" w:hAnsiTheme="minorEastAsia" w:eastAsiaTheme="minorEastAsia"/>
                <w:color w:val="auto"/>
                <w:sz w:val="24"/>
                <w:highlight w:val="none"/>
                <w:lang w:eastAsia="zh-CN"/>
              </w:rPr>
              <w:t xml:space="preserve">下</w:t>
            </w:r>
            <w:r>
              <w:rPr>
                <w:rFonts w:hint="eastAsia" w:cs="楷体" w:asciiTheme="minorEastAsia" w:hAnsiTheme="minorEastAsia" w:eastAsiaTheme="minorEastAsia"/>
                <w:color w:val="auto"/>
                <w:sz w:val="24"/>
                <w:highlight w:val="none"/>
              </w:rPr>
              <w:t xml:space="preserve">午</w:t>
            </w:r>
            <w:r>
              <w:rPr>
                <w:rFonts w:hint="eastAsia" w:cs="楷体" w:asciiTheme="minorEastAsia" w:hAnsiTheme="minorEastAsia" w:eastAsiaTheme="minorEastAsia"/>
                <w:color w:val="auto"/>
                <w:sz w:val="24"/>
                <w:highlight w:val="none"/>
                <w:lang w:val="en-US" w:eastAsia="zh-CN"/>
              </w:rPr>
              <w:t xml:space="preserve">2</w:t>
            </w:r>
            <w:r>
              <w:rPr>
                <w:rFonts w:hint="eastAsia" w:cs="楷体" w:asciiTheme="minorEastAsia" w:hAnsiTheme="minorEastAsia" w:eastAsiaTheme="minorEastAsia"/>
                <w:color w:val="auto"/>
                <w:sz w:val="24"/>
                <w:highlight w:val="none"/>
              </w:rPr>
              <w:t xml:space="preserve">:</w:t>
            </w:r>
            <w:r>
              <w:rPr>
                <w:rFonts w:hint="eastAsia" w:cs="楷体" w:asciiTheme="minorEastAsia" w:hAnsiTheme="minorEastAsia" w:eastAsiaTheme="minorEastAsia"/>
                <w:color w:val="auto"/>
                <w:sz w:val="24"/>
                <w:highlight w:val="none"/>
                <w:lang w:val="en-US" w:eastAsia="zh-CN"/>
              </w:rPr>
              <w:t xml:space="preserve">0</w:t>
            </w:r>
            <w:r>
              <w:rPr>
                <w:rFonts w:hint="eastAsia" w:cs="楷体" w:asciiTheme="minorEastAsia" w:hAnsiTheme="minorEastAsia" w:eastAsiaTheme="minorEastAsia"/>
                <w:color w:val="auto"/>
                <w:sz w:val="24"/>
                <w:highlight w:val="none"/>
              </w:rPr>
              <w:t xml:space="preserve">0到17:30，过时不受理。地点：江苏省句容市行政服务中心1号楼5楼样品室；请投标人在上述时间内提供样品并按规定位置安装完毕。超过截止时间的，采购人或采购代理机构将不予接收及安装，并将清场并封闭样品现场。</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（7）制作、运输、安装和保管样品所发生的一切费用由投标人自理。</w:t>
            </w:r>
            <w:r/>
          </w:p>
          <w:p>
            <w:pPr>
              <w:pStyle w:val="788"/>
              <w:rPr>
                <w:rFonts w:asciiTheme="minorEastAsia" w:hAnsiTheme="minorEastAsia" w:eastAsiaTheme="minorEastAsia"/>
                <w:color w:val="auto"/>
                <w:highlight w:val="none"/>
              </w:rPr>
            </w:pPr>
            <w:r>
              <w:rPr>
                <w:rFonts w:hint="eastAsia" w:cs="楷体" w:asciiTheme="minorEastAsia" w:hAnsiTheme="minorEastAsia" w:eastAsiaTheme="minorEastAsia"/>
                <w:color w:val="auto"/>
                <w:sz w:val="24"/>
                <w:highlight w:val="none"/>
              </w:rPr>
              <w:t xml:space="preserve">注：</w:t>
            </w:r>
            <w:r>
              <w:rPr>
                <w:rFonts w:hint="eastAsia" w:cs="楷体" w:asciiTheme="minorEastAsia" w:hAnsiTheme="minorEastAsia" w:eastAsiaTheme="minorEastAsia"/>
                <w:color w:val="auto"/>
                <w:sz w:val="24"/>
                <w:highlight w:val="none"/>
                <w:lang w:val="en-US" w:eastAsia="zh-CN"/>
              </w:rPr>
              <w:t xml:space="preserve">以上所有</w:t>
            </w:r>
            <w:r>
              <w:rPr>
                <w:rFonts w:hint="eastAsia" w:cs="楷体" w:asciiTheme="minorEastAsia" w:hAnsiTheme="minorEastAsia" w:eastAsiaTheme="minorEastAsia"/>
                <w:color w:val="auto"/>
                <w:sz w:val="24"/>
                <w:highlight w:val="none"/>
              </w:rPr>
              <w:t xml:space="preserve">样品不接受快递送</w:t>
            </w:r>
            <w:r>
              <w:rPr>
                <w:rFonts w:hint="eastAsia" w:cs="楷体" w:asciiTheme="minorEastAsia" w:hAnsiTheme="minorEastAsia" w:eastAsiaTheme="minorEastAsia"/>
                <w:color w:val="auto"/>
                <w:sz w:val="24"/>
                <w:highlight w:val="none"/>
                <w:lang w:val="en-US" w:eastAsia="zh-CN"/>
              </w:rPr>
              <w:t xml:space="preserve">达</w:t>
            </w:r>
            <w:r>
              <w:rPr>
                <w:rFonts w:hint="eastAsia" w:cs="楷体" w:asciiTheme="minorEastAsia" w:hAnsiTheme="minorEastAsia" w:eastAsiaTheme="minorEastAsia"/>
                <w:color w:val="auto"/>
                <w:sz w:val="24"/>
                <w:highlight w:val="none"/>
              </w:rPr>
              <w:t xml:space="preserve">。</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7</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是否允许采购进口产品</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A本项目不允许采购进口产品。</w:t>
            </w:r>
            <w:r/>
          </w:p>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8</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项目属性与核心产品</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ascii="MS Mincho" w:hAnsi="MS Mincho" w:eastAsia="MS Mincho" w:cs="MS Mincho"/>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A货物类。</w:t>
            </w:r>
            <w:r/>
          </w:p>
          <w:p>
            <w:pPr>
              <w:pStyle w:val="766"/>
              <w:ind w:firstLine="0"/>
              <w:rPr>
                <w:rFonts w:cs="楷体" w:asciiTheme="minorEastAsia" w:hAnsiTheme="minorEastAsia" w:eastAsiaTheme="minorEastAsia"/>
                <w:color w:val="auto"/>
                <w:sz w:val="24"/>
                <w:highlight w:val="none"/>
                <w:lang w:eastAsia="zh-CN"/>
              </w:rPr>
            </w:pPr>
            <w:r>
              <w:rPr>
                <w:rFonts w:hint="eastAsia" w:cs="Wingdings 2" w:asciiTheme="minorEastAsia" w:hAnsiTheme="minorEastAsia" w:eastAsiaTheme="minorEastAsia"/>
                <w:color w:val="auto"/>
                <w:sz w:val="24"/>
                <w:highlight w:val="none"/>
                <w:lang w:eastAsia="zh-CN"/>
              </w:rPr>
              <w:t xml:space="preserve">□</w:t>
            </w:r>
            <w:r>
              <w:rPr>
                <w:rFonts w:hint="eastAsia" w:cs="楷体" w:asciiTheme="minorEastAsia" w:hAnsiTheme="minorEastAsia" w:eastAsiaTheme="minorEastAsia"/>
                <w:color w:val="auto"/>
                <w:sz w:val="24"/>
                <w:highlight w:val="none"/>
                <w:lang w:eastAsia="zh-CN"/>
              </w:rPr>
              <w:t xml:space="preserve">B服务类。</w:t>
            </w:r>
            <w:r/>
          </w:p>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本项目核心产品为：</w:t>
            </w:r>
            <w:r>
              <w:rPr>
                <w:rFonts w:hint="eastAsia" w:cs="楷体" w:asciiTheme="minorEastAsia" w:hAnsiTheme="minorEastAsia" w:eastAsiaTheme="minorEastAsia"/>
                <w:color w:val="auto"/>
                <w:sz w:val="24"/>
                <w:highlight w:val="none"/>
                <w:u w:val="single"/>
                <w:lang w:eastAsia="zh-CN"/>
              </w:rPr>
              <w:t xml:space="preserve">学生实验桌（陶瓷面板）；</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9</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采购标的对应的中小企业划分标准所属行业</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标的：</w:t>
            </w:r>
            <w:r>
              <w:rPr>
                <w:rFonts w:hint="eastAsia" w:asciiTheme="minorEastAsia" w:hAnsiTheme="minorEastAsia" w:eastAsiaTheme="minorEastAsia"/>
                <w:color w:val="auto"/>
                <w:sz w:val="24"/>
                <w:szCs w:val="28"/>
                <w:highlight w:val="none"/>
                <w:u w:val="single"/>
                <w:lang w:val="en-US" w:eastAsia="zh-CN"/>
              </w:rPr>
              <w:t xml:space="preserve">详见“技术要求”</w:t>
            </w:r>
            <w:r>
              <w:rPr>
                <w:rFonts w:hint="eastAsia" w:cs="楷体" w:asciiTheme="minorEastAsia" w:hAnsiTheme="minorEastAsia" w:eastAsiaTheme="minorEastAsia"/>
                <w:color w:val="auto"/>
                <w:sz w:val="24"/>
                <w:highlight w:val="none"/>
                <w:lang w:eastAsia="zh-CN"/>
              </w:rPr>
              <w:t xml:space="preserve">，属于</w:t>
            </w:r>
            <w:r>
              <w:rPr>
                <w:rFonts w:hint="eastAsia" w:cs="楷体" w:asciiTheme="minorEastAsia" w:hAnsiTheme="minorEastAsia" w:eastAsiaTheme="minorEastAsia"/>
                <w:color w:val="auto"/>
                <w:sz w:val="24"/>
                <w:highlight w:val="none"/>
                <w:u w:val="single"/>
                <w:lang w:eastAsia="zh-CN"/>
              </w:rPr>
              <w:t xml:space="preserve"> 工业 </w:t>
            </w:r>
            <w:r>
              <w:rPr>
                <w:rFonts w:hint="eastAsia" w:cs="楷体" w:asciiTheme="minorEastAsia" w:hAnsiTheme="minorEastAsia" w:eastAsiaTheme="minorEastAsia"/>
                <w:color w:val="auto"/>
                <w:sz w:val="24"/>
                <w:highlight w:val="none"/>
                <w:lang w:eastAsia="zh-CN"/>
              </w:rPr>
              <w:t xml:space="preserve">行业</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10</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节能产品、环境标志产品</w:t>
            </w:r>
            <w:r/>
          </w:p>
        </w:tc>
        <w:tc>
          <w:tcPr>
            <w:shd w:val="clear" w:color="auto" w:fill="auto"/>
            <w:tcW w:w="6135" w:type="dxa"/>
            <w:vAlign w:val="center"/>
            <w:textDirection w:val="lrTb"/>
            <w:noWrap/>
          </w:tcPr>
          <w:p>
            <w:pPr>
              <w:spacing w:line="276" w:lineRule="auto"/>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11</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中小企业信用融资</w:t>
            </w:r>
            <w:r/>
          </w:p>
        </w:tc>
        <w:tc>
          <w:tcPr>
            <w:tcW w:w="6135" w:type="dxa"/>
            <w:vAlign w:val="center"/>
            <w:textDirection w:val="lrTb"/>
            <w:noWrap/>
          </w:tcPr>
          <w:p>
            <w:pPr>
              <w:pStyle w:val="766"/>
              <w:ind w:firstLine="0"/>
              <w:rPr>
                <w:rFonts w:cs="楷体" w:asciiTheme="minorEastAsia" w:hAnsiTheme="minorEastAsia" w:eastAsiaTheme="minorEastAsia"/>
                <w:color w:val="auto"/>
                <w:sz w:val="24"/>
                <w:highlight w:val="none"/>
                <w:lang w:eastAsia="zh-CN"/>
              </w:rPr>
            </w:pPr>
            <w:r>
              <w:rPr>
                <w:rFonts w:hint="eastAsia" w:cs="楷体" w:asciiTheme="minorEastAsia" w:hAnsiTheme="minorEastAsia" w:eastAsiaTheme="minorEastAsia"/>
                <w:color w:val="auto"/>
                <w:sz w:val="24"/>
                <w:highlight w:val="none"/>
                <w:lang w:eastAsia="zh-CN"/>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cs="楷体" w:asciiTheme="minorEastAsia" w:hAnsiTheme="minorEastAsia" w:eastAsiaTheme="minorEastAsia"/>
                <w:color w:val="auto"/>
                <w:sz w:val="24"/>
                <w:highlight w:val="none"/>
                <w:lang w:eastAsia="zh-CN"/>
              </w:rPr>
              <w:t xml:space="preserve">镇江市财政局和中国人民银行镇江市中心支行联合印发《关于转发〈关于深入推进政府采购线上合同信用融资工作的通知〉的通知》</w:t>
            </w:r>
            <w:bookmarkEnd w:id="44"/>
            <w:r>
              <w:rPr>
                <w:rFonts w:hint="eastAsia" w:cs="楷体" w:asciiTheme="minorEastAsia" w:hAnsiTheme="minorEastAsia" w:eastAsiaTheme="minorEastAsia"/>
                <w:color w:val="auto"/>
                <w:sz w:val="24"/>
                <w:highlight w:val="none"/>
                <w:lang w:eastAsia="zh-CN"/>
              </w:rPr>
              <w:t xml:space="preserve">，</w:t>
            </w:r>
            <w:bookmarkStart w:id="45" w:name="_Hlk136444446"/>
            <w:r>
              <w:rPr>
                <w:rFonts w:hint="eastAsia" w:cs="楷体" w:asciiTheme="minorEastAsia" w:hAnsiTheme="minorEastAsia" w:eastAsiaTheme="minorEastAsia"/>
                <w:color w:val="auto"/>
                <w:sz w:val="24"/>
                <w:highlight w:val="none"/>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cs="楷体" w:asciiTheme="minorEastAsia" w:hAnsiTheme="minorEastAsia" w:eastAsiaTheme="minorEastAsia"/>
                <w:color w:val="auto"/>
                <w:sz w:val="24"/>
                <w:highlight w:val="none"/>
                <w:lang w:eastAsia="zh-CN"/>
              </w:rPr>
              <w:t xml:space="preserve">办理流程详见江苏政府采购网“政采贷”栏目，网址：</w:t>
            </w:r>
            <w:r>
              <w:rPr>
                <w:rFonts w:cs="楷体" w:asciiTheme="minorEastAsia" w:hAnsiTheme="minorEastAsia" w:eastAsiaTheme="minorEastAsia"/>
                <w:color w:val="auto"/>
                <w:sz w:val="24"/>
                <w:highlight w:val="none"/>
                <w:lang w:eastAsia="zh-CN"/>
              </w:rPr>
              <w:t xml:space="preserve">http://www.ccgp-jiangsu.gov.cn/jiangsu/paying.html</w:t>
            </w:r>
            <w:r>
              <w:rPr>
                <w:rFonts w:hint="eastAsia" w:cs="楷体" w:asciiTheme="minorEastAsia" w:hAnsiTheme="minorEastAsia" w:eastAsiaTheme="minorEastAsia"/>
                <w:color w:val="auto"/>
                <w:sz w:val="24"/>
                <w:highlight w:val="none"/>
                <w:lang w:eastAsia="zh-CN"/>
              </w:rPr>
              <w:t xml:space="preserve">咨询电话：镇江市财政局政府采购处0</w:t>
            </w:r>
            <w:r>
              <w:rPr>
                <w:rFonts w:cs="楷体" w:asciiTheme="minorEastAsia" w:hAnsiTheme="minorEastAsia" w:eastAsiaTheme="minorEastAsia"/>
                <w:color w:val="auto"/>
                <w:sz w:val="24"/>
                <w:highlight w:val="none"/>
                <w:lang w:eastAsia="zh-CN"/>
              </w:rPr>
              <w:t xml:space="preserve">511-80909958</w:t>
            </w:r>
            <w:r>
              <w:rPr>
                <w:rFonts w:hint="eastAsia" w:cs="楷体" w:asciiTheme="minorEastAsia" w:hAnsiTheme="minorEastAsia" w:eastAsiaTheme="minorEastAsia"/>
                <w:color w:val="auto"/>
                <w:sz w:val="24"/>
                <w:highlight w:val="none"/>
                <w:lang w:eastAsia="zh-CN"/>
              </w:rPr>
              <w:t xml:space="preserve">。</w:t>
            </w:r>
            <w:r/>
          </w:p>
        </w:tc>
      </w:tr>
      <w:tr>
        <w:trPr/>
        <w:tc>
          <w:tcPr>
            <w:tcW w:w="718"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12</w:t>
            </w:r>
            <w:r/>
          </w:p>
        </w:tc>
        <w:tc>
          <w:tcPr>
            <w:tcW w:w="1642" w:type="dxa"/>
            <w:vAlign w:val="center"/>
            <w:textDirection w:val="lrTb"/>
            <w:noWrap/>
          </w:tcPr>
          <w:p>
            <w:pPr>
              <w:pStyle w:val="766"/>
              <w:ind w:firstLine="0"/>
              <w:jc w:val="center"/>
              <w:rPr>
                <w:rFonts w:cs="楷体" w:asciiTheme="minorEastAsia" w:hAnsiTheme="minorEastAsia" w:eastAsiaTheme="minorEastAsia"/>
                <w:color w:val="auto"/>
                <w:sz w:val="24"/>
                <w:highlight w:val="none"/>
              </w:rPr>
            </w:pPr>
            <w:r>
              <w:rPr>
                <w:rFonts w:hint="eastAsia" w:cs="楷体" w:asciiTheme="minorEastAsia" w:hAnsiTheme="minorEastAsia" w:eastAsiaTheme="minorEastAsia"/>
                <w:color w:val="auto"/>
                <w:sz w:val="24"/>
                <w:highlight w:val="none"/>
              </w:rPr>
              <w:t xml:space="preserve">特别说明</w:t>
            </w:r>
            <w:r/>
          </w:p>
        </w:tc>
        <w:tc>
          <w:tcPr>
            <w:tcW w:w="6135" w:type="dxa"/>
            <w:vAlign w:val="center"/>
            <w:textDirection w:val="lrTb"/>
            <w:noWrap/>
          </w:tcPr>
          <w:p>
            <w:pPr>
              <w:pStyle w:val="766"/>
              <w:ind w:firstLine="0"/>
              <w:rPr>
                <w:rFonts w:cs="楷体" w:asciiTheme="minorEastAsia" w:hAnsiTheme="minorEastAsia" w:eastAsiaTheme="minorEastAsia"/>
                <w:i/>
                <w:iCs/>
                <w:color w:val="auto"/>
                <w:sz w:val="24"/>
                <w:highlight w:val="none"/>
              </w:rPr>
            </w:pPr>
            <w:r>
              <w:rPr>
                <w:rFonts w:cs="楷体" w:asciiTheme="minorEastAsia" w:hAnsiTheme="minorEastAsia" w:eastAsiaTheme="minorEastAsia"/>
                <w:color w:val="auto"/>
                <w:sz w:val="24"/>
                <w:highlight w:val="none"/>
              </w:rPr>
              <w:t xml:space="preserve">无</w:t>
            </w:r>
            <w:r/>
          </w:p>
        </w:tc>
      </w:tr>
    </w:tbl>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6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br w:type="page" w:clear="all"/>
      </w:r>
      <w:r/>
    </w:p>
    <w:p>
      <w:pPr>
        <w:pStyle w:val="756"/>
        <w:jc w:val="center"/>
        <w:keepLines w:val="0"/>
        <w:keepNext w:val="0"/>
        <w:spacing w:before="0" w:after="0"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Cs w:val="32"/>
          <w:highlight w:val="none"/>
        </w:rPr>
        <w:t xml:space="preserve">一、总  则</w:t>
      </w:r>
      <w:bookmarkEnd w:id="42"/>
      <w:r/>
      <w:bookmarkEnd w:id="43"/>
      <w:r/>
      <w:r/>
    </w:p>
    <w:p>
      <w:pPr>
        <w:pStyle w:val="756"/>
        <w:ind w:firstLine="446"/>
        <w:keepLines w:val="0"/>
        <w:keepNext w:val="0"/>
        <w:spacing w:before="0" w:after="0" w:line="360" w:lineRule="auto"/>
        <w:rPr>
          <w:rFonts w:asciiTheme="minorEastAsia" w:hAnsiTheme="minorEastAsia" w:eastAsiaTheme="minorEastAsia"/>
          <w:color w:val="auto"/>
          <w:sz w:val="30"/>
          <w:highlight w:val="none"/>
        </w:rPr>
      </w:pPr>
      <w:r/>
      <w:bookmarkStart w:id="46" w:name="_Toc92168001"/>
      <w:r/>
      <w:bookmarkStart w:id="47" w:name="_Toc100386035"/>
      <w:r>
        <w:rPr>
          <w:rFonts w:hint="eastAsia" w:asciiTheme="minorEastAsia" w:hAnsiTheme="minorEastAsia" w:eastAsiaTheme="minorEastAsia"/>
          <w:color w:val="auto"/>
          <w:sz w:val="30"/>
          <w:highlight w:val="none"/>
        </w:rPr>
        <w:t xml:space="preserve">1．适用范围</w:t>
      </w:r>
      <w:bookmarkEnd w:id="46"/>
      <w:r/>
      <w:bookmarkEnd w:id="47"/>
      <w:r/>
      <w:r/>
    </w:p>
    <w:p>
      <w:pPr>
        <w:ind w:firstLine="480"/>
        <w:spacing w:line="360" w:lineRule="auto"/>
        <w:rPr>
          <w:rFonts w:cs="隶书"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1.1 本招标文件仅适用于</w:t>
      </w:r>
      <w:r>
        <w:rPr>
          <w:rFonts w:hint="eastAsia" w:cs="隶书" w:asciiTheme="minorEastAsia" w:hAnsiTheme="minorEastAsia" w:eastAsiaTheme="minorEastAsia"/>
          <w:color w:val="auto"/>
          <w:sz w:val="24"/>
          <w:highlight w:val="none"/>
          <w:u w:val="single"/>
          <w:lang w:eastAsia="zh-CN"/>
        </w:rPr>
        <w:t xml:space="preserve">句容市琅琊实验学校专用教室教学设备采购</w:t>
      </w:r>
      <w:r>
        <w:rPr>
          <w:rFonts w:hint="eastAsia" w:cs="隶书" w:asciiTheme="minorEastAsia" w:hAnsiTheme="minorEastAsia" w:eastAsiaTheme="minorEastAsia"/>
          <w:color w:val="auto"/>
          <w:sz w:val="24"/>
          <w:highlight w:val="none"/>
          <w:u w:val="single"/>
        </w:rPr>
        <w:t xml:space="preserve">。</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bookmarkStart w:id="48" w:name="_Toc92168002"/>
      <w:r/>
      <w:bookmarkStart w:id="49" w:name="_Toc100386036"/>
      <w:r>
        <w:rPr>
          <w:rFonts w:hint="eastAsia" w:asciiTheme="minorEastAsia" w:hAnsiTheme="minorEastAsia" w:eastAsiaTheme="minorEastAsia"/>
          <w:color w:val="auto"/>
          <w:sz w:val="30"/>
          <w:highlight w:val="none"/>
          <w:lang w:eastAsia="zh-CN"/>
        </w:rPr>
        <w:t xml:space="preserve">2．定义</w:t>
      </w:r>
      <w:bookmarkEnd w:id="48"/>
      <w:r/>
      <w:bookmarkEnd w:id="49"/>
      <w:r/>
      <w:r/>
    </w:p>
    <w:p>
      <w:pPr>
        <w:ind w:firstLine="480"/>
        <w:spacing w:line="360" w:lineRule="auto"/>
        <w:rPr>
          <w:rFonts w:asciiTheme="minorEastAsia" w:hAnsiTheme="minorEastAsia" w:eastAsiaTheme="minorEastAsia"/>
          <w:color w:val="auto"/>
          <w:sz w:val="24"/>
          <w:highlight w:val="none"/>
        </w:rPr>
      </w:pPr>
      <w:r/>
      <w:bookmarkStart w:id="50" w:name="_Toc100386038"/>
      <w:r/>
      <w:bookmarkStart w:id="51" w:name="_Toc92168004"/>
      <w:r/>
      <w:bookmarkStart w:id="52" w:name="_Toc98669693"/>
      <w:r/>
      <w:bookmarkStart w:id="53" w:name="_Toc98669335"/>
      <w:r/>
      <w:bookmarkStart w:id="54" w:name="_Toc20732971"/>
      <w:r>
        <w:rPr>
          <w:rFonts w:hint="eastAsia" w:asciiTheme="minorEastAsia" w:hAnsiTheme="minorEastAsia" w:eastAsiaTheme="minorEastAsia"/>
          <w:color w:val="auto"/>
          <w:sz w:val="24"/>
          <w:highlight w:val="none"/>
        </w:rPr>
        <w:t xml:space="preserve">招标文件中下列术语应解释为：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2.1“采购人”系指依法进行政府采购的国家机关、事业单位、团体组织，即：</w:t>
      </w:r>
      <w:r>
        <w:rPr>
          <w:rFonts w:hint="eastAsia" w:asciiTheme="minorEastAsia" w:hAnsiTheme="minorEastAsia" w:eastAsiaTheme="minorEastAsia"/>
          <w:color w:val="auto"/>
          <w:sz w:val="24"/>
          <w:highlight w:val="none"/>
          <w:u w:val="single"/>
          <w:lang w:val="en-US" w:eastAsia="zh-CN"/>
        </w:rPr>
        <w:t xml:space="preserve">句容市琅琊实验学校</w:t>
      </w:r>
      <w:r>
        <w:rPr>
          <w:rFonts w:hint="eastAsia" w:asciiTheme="minorEastAsia" w:hAnsiTheme="minorEastAsia" w:eastAsiaTheme="minorEastAsia"/>
          <w:color w:val="auto"/>
          <w:sz w:val="24"/>
          <w:highlight w:val="non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2.2“投标人”系指响应招标、参加投标竞争的法人、其他组织或者自然人。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2.3“采购代理机构”系指组织本次采购活动的单位，即：</w:t>
      </w:r>
      <w:r>
        <w:rPr>
          <w:rFonts w:hint="eastAsia" w:cs="隶书" w:asciiTheme="minorEastAsia" w:hAnsiTheme="minorEastAsia" w:eastAsiaTheme="minorEastAsia"/>
          <w:color w:val="auto"/>
          <w:sz w:val="24"/>
          <w:highlight w:val="none"/>
          <w:u w:val="single"/>
          <w:lang w:val="en-US" w:eastAsia="zh-CN"/>
        </w:rPr>
        <w:t xml:space="preserve">江苏正德建设管理有限公司</w:t>
      </w:r>
      <w:r>
        <w:rPr>
          <w:rFonts w:hint="eastAsia" w:cs="隶书" w:asciiTheme="minorEastAsia" w:hAnsiTheme="minorEastAsia" w:eastAsiaTheme="minorEastAsia"/>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ind w:firstLine="480"/>
        <w:spacing w:line="360" w:lineRule="auto"/>
        <w:rPr>
          <w:rFonts w:cs="隶书"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2.4“货物”系指本招标文件所述采购标的涉及的各种形态和种类的物品，即：</w:t>
      </w:r>
      <w:r>
        <w:rPr>
          <w:rFonts w:hint="eastAsia" w:cs="隶书" w:asciiTheme="minorEastAsia" w:hAnsiTheme="minorEastAsia" w:eastAsiaTheme="minorEastAsia"/>
          <w:color w:val="auto"/>
          <w:sz w:val="24"/>
          <w:highlight w:val="none"/>
          <w:u w:val="single"/>
          <w:lang w:eastAsia="zh-CN"/>
        </w:rPr>
        <w:t xml:space="preserve">句容市琅琊实验学校专用教室教学设备采购</w:t>
      </w:r>
      <w:r>
        <w:rPr>
          <w:rFonts w:hint="eastAsia" w:cs="隶书" w:asciiTheme="minorEastAsia" w:hAnsiTheme="minorEastAsia" w:eastAsiaTheme="minorEastAsia"/>
          <w:color w:val="auto"/>
          <w:sz w:val="24"/>
          <w:highlight w:val="none"/>
          <w:u w:val="singl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2.5“</w:t>
      </w:r>
      <w:r>
        <w:rPr>
          <w:rFonts w:hint="eastAsia" w:ascii="MS Mincho" w:hAnsi="MS Mincho" w:eastAsia="MS Mincho" w:cs="MS Mincho"/>
          <w:color w:val="auto"/>
          <w:sz w:val="24"/>
          <w:highlight w:val="none"/>
        </w:rPr>
        <w:t xml:space="preserve">☑</w:t>
      </w:r>
      <w:r>
        <w:rPr>
          <w:rFonts w:hint="eastAsia" w:asciiTheme="minorEastAsia" w:hAnsiTheme="minorEastAsia" w:eastAsiaTheme="minorEastAsia"/>
          <w:color w:val="auto"/>
          <w:sz w:val="24"/>
          <w:highlight w:val="none"/>
        </w:rPr>
        <w:t xml:space="preserve">”系指适用本项目的要求，“</w:t>
      </w:r>
      <w:r>
        <w:rPr>
          <w:rFonts w:hint="eastAsia" w:eastAsia="MS Mincho" w:cs="MS Mincho" w:asciiTheme="minorEastAsia" w:hAnsiTheme="minorEastAsia"/>
          <w:color w:val="auto"/>
          <w:sz w:val="24"/>
          <w:highlight w:val="none"/>
        </w:rPr>
        <w:t xml:space="preserve">☐</w:t>
      </w:r>
      <w:r>
        <w:rPr>
          <w:rFonts w:hint="eastAsia" w:asciiTheme="minorEastAsia" w:hAnsiTheme="minorEastAsia" w:eastAsiaTheme="minorEastAsia"/>
          <w:color w:val="auto"/>
          <w:sz w:val="24"/>
          <w:highlight w:val="none"/>
        </w:rPr>
        <w:t xml:space="preserve">”系指不适用本项目的要求。</w:t>
      </w:r>
      <w:r/>
    </w:p>
    <w:p>
      <w:pPr>
        <w:pStyle w:val="756"/>
        <w:ind w:firstLine="446"/>
        <w:keepLines w:val="0"/>
        <w:keepNext w:val="0"/>
        <w:spacing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3．采购方式</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 本次采购采取公开招标方式</w:t>
      </w:r>
      <w:r>
        <w:rPr>
          <w:rFonts w:hint="eastAsia" w:ascii="MS Mincho" w:hAnsi="MS Mincho" w:eastAsia="MS Mincho" w:cs="MS Mincho"/>
          <w:color w:val="auto"/>
          <w:sz w:val="24"/>
          <w:highlight w:val="none"/>
        </w:rPr>
        <w:t xml:space="preserve">☑</w:t>
      </w:r>
      <w:r>
        <w:rPr>
          <w:rFonts w:hint="eastAsia" w:asciiTheme="minorEastAsia" w:hAnsiTheme="minorEastAsia" w:eastAsiaTheme="minorEastAsia"/>
          <w:color w:val="auto"/>
          <w:sz w:val="24"/>
          <w:highlight w:val="none"/>
        </w:rPr>
        <w:t xml:space="preserve">综合评分法   □最低评标价法。。</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3.2 本项目资格审查方式：</w:t>
      </w:r>
      <w:r>
        <w:rPr>
          <w:rFonts w:hint="eastAsia" w:ascii="MS Mincho" w:hAnsi="MS Mincho" w:eastAsia="MS Mincho" w:cs="MS Mincho"/>
          <w:color w:val="auto"/>
          <w:sz w:val="24"/>
          <w:highlight w:val="none"/>
        </w:rPr>
        <w:t xml:space="preserve">☑</w:t>
      </w:r>
      <w:r>
        <w:rPr>
          <w:rFonts w:hint="eastAsia" w:asciiTheme="minorEastAsia" w:hAnsiTheme="minorEastAsia" w:eastAsiaTheme="minorEastAsia"/>
          <w:color w:val="auto"/>
          <w:sz w:val="24"/>
          <w:szCs w:val="28"/>
          <w:highlight w:val="none"/>
        </w:rPr>
        <w:t xml:space="preserve">资格后审   □资格预审</w:t>
      </w:r>
      <w:r/>
    </w:p>
    <w:p>
      <w:pPr>
        <w:ind w:firstLine="48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3.3 本次采购确定的中标人数量：1名</w:t>
      </w:r>
      <w:r/>
    </w:p>
    <w:p>
      <w:pPr>
        <w:pStyle w:val="756"/>
        <w:ind w:firstLine="446"/>
        <w:keepLines w:val="0"/>
        <w:keepNext w:val="0"/>
        <w:spacing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4．投标费用</w:t>
      </w:r>
      <w:bookmarkEnd w:id="50"/>
      <w:r/>
      <w:bookmarkEnd w:id="51"/>
      <w:r/>
      <w:bookmarkEnd w:id="52"/>
      <w:r/>
      <w:bookmarkEnd w:id="53"/>
      <w:r/>
      <w:bookmarkEnd w:id="54"/>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4.1 投标人应自行承担所有与参加投标有关的费用</w:t>
      </w:r>
      <w:r>
        <w:rPr>
          <w:rFonts w:hint="eastAsia" w:asciiTheme="minorEastAsia" w:hAnsiTheme="minorEastAsia" w:eastAsiaTheme="minorEastAsia"/>
          <w:b/>
          <w:color w:val="auto"/>
          <w:sz w:val="24"/>
          <w:highlight w:val="non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宋体" w:hAnsi="宋体" w:eastAsia="宋体" w:cs="宋体"/>
          <w:b/>
          <w:bCs w:val="0"/>
          <w:color w:val="auto"/>
          <w:sz w:val="24"/>
          <w:highlight w:val="none"/>
          <w:lang w:val="en-US" w:eastAsia="zh-CN"/>
        </w:rPr>
        <w:t xml:space="preserve">招标代理费</w:t>
      </w:r>
      <w:r>
        <w:rPr>
          <w:rFonts w:hint="eastAsia" w:ascii="宋体" w:hAnsi="宋体" w:eastAsia="宋体" w:cs="宋体"/>
          <w:b/>
          <w:bCs w:val="0"/>
          <w:color w:val="auto"/>
          <w:sz w:val="24"/>
          <w:highlight w:val="none"/>
        </w:rPr>
        <w:t xml:space="preserve">支付原因与依据</w:t>
      </w:r>
      <w:r>
        <w:rPr>
          <w:rFonts w:hint="eastAsia" w:ascii="宋体" w:hAnsi="宋体" w:eastAsia="宋体" w:cs="宋体"/>
          <w:b/>
          <w:bCs w:val="0"/>
          <w:color w:val="auto"/>
          <w:sz w:val="24"/>
          <w:highlight w:val="none"/>
          <w:lang w:eastAsia="zh-CN"/>
        </w:rPr>
        <w:t xml:space="preserve">：</w:t>
      </w:r>
      <w:r>
        <w:rPr>
          <w:rFonts w:hint="eastAsia" w:asciiTheme="minorEastAsia" w:hAnsiTheme="minorEastAsia" w:eastAsiaTheme="minorEastAsia"/>
          <w:color w:val="auto"/>
          <w:sz w:val="24"/>
          <w:highlight w:val="none"/>
        </w:rPr>
        <w:t xml:space="preserve">为简化资金结算流程、保障代理服务费及时履约，提高采购执行效率，供应商应自行承担所有与参加投标有关的费用，并将代理费计入</w:t>
      </w:r>
      <w:r>
        <w:rPr>
          <w:rFonts w:hint="eastAsia" w:asciiTheme="minorEastAsia" w:hAnsiTheme="minorEastAsia" w:eastAsiaTheme="minorEastAsia"/>
          <w:color w:val="auto"/>
          <w:sz w:val="24"/>
          <w:highlight w:val="none"/>
          <w:lang w:val="en-US" w:eastAsia="zh-CN"/>
        </w:rPr>
        <w:t xml:space="preserve">投标报价</w:t>
      </w:r>
      <w:r>
        <w:rPr>
          <w:rFonts w:hint="eastAsia" w:asciiTheme="minorEastAsia" w:hAnsiTheme="minorEastAsia" w:eastAsiaTheme="minorEastAsia"/>
          <w:color w:val="auto"/>
          <w:sz w:val="24"/>
          <w:highlight w:val="none"/>
        </w:rPr>
        <w:t xml:space="preserve">中。</w:t>
      </w:r>
      <w:r/>
    </w:p>
    <w:p>
      <w:pPr>
        <w:ind w:firstLine="480"/>
        <w:spacing w:line="360" w:lineRule="auto"/>
        <w:rPr>
          <w:rFonts w:asciiTheme="minorEastAsia" w:hAnsiTheme="minorEastAsia" w:eastAsiaTheme="minorEastAsia"/>
          <w:color w:val="auto"/>
          <w:sz w:val="24"/>
          <w:highlight w:val="none"/>
        </w:rPr>
      </w:pPr>
      <w:r>
        <w:rPr>
          <w:rFonts w:hint="eastAsia" w:ascii="宋体" w:hAnsi="宋体" w:eastAsia="宋体" w:cs="宋体"/>
          <w:b/>
          <w:bCs/>
          <w:color w:val="auto"/>
          <w:sz w:val="24"/>
          <w:highlight w:val="none"/>
        </w:rPr>
        <w:t xml:space="preserve">收费标准：</w:t>
      </w:r>
      <w:r>
        <w:rPr>
          <w:rFonts w:hint="eastAsia" w:asciiTheme="minorEastAsia" w:hAnsiTheme="minorEastAsia" w:eastAsiaTheme="minorEastAsia"/>
          <w:color w:val="auto"/>
          <w:sz w:val="24"/>
          <w:highlight w:val="none"/>
        </w:rPr>
        <w:t xml:space="preserve">收费标准是参照国家计委关于印发《代理服务收费管理暂行办法》的通知（计价格[2002]1980 号）</w:t>
      </w:r>
      <w:r>
        <w:rPr>
          <w:rFonts w:hint="eastAsia" w:asciiTheme="minorEastAsia" w:hAnsiTheme="minorEastAsia" w:eastAsiaTheme="minorEastAsia"/>
          <w:color w:val="auto"/>
          <w:sz w:val="24"/>
          <w:highlight w:val="none"/>
          <w:lang w:val="en-US" w:eastAsia="zh-CN"/>
        </w:rPr>
        <w:t xml:space="preserve">中货物类费率</w:t>
      </w:r>
      <w:r>
        <w:rPr>
          <w:rFonts w:hint="eastAsia" w:ascii="宋体" w:hAnsi="宋体" w:eastAsia="宋体" w:cs="宋体"/>
          <w:color w:val="auto"/>
          <w:sz w:val="24"/>
          <w:highlight w:val="none"/>
          <w:lang w:val="en-US" w:eastAsia="zh-CN"/>
        </w:rPr>
        <w:t xml:space="preserve">×</w:t>
      </w:r>
      <w:r>
        <w:rPr>
          <w:rFonts w:hint="eastAsia" w:ascii="Arial" w:hAnsi="Arial" w:cs="Arial" w:eastAsiaTheme="minorEastAsia"/>
          <w:color w:val="auto"/>
          <w:sz w:val="24"/>
          <w:highlight w:val="none"/>
          <w:lang w:val="en-US" w:eastAsia="zh-CN"/>
        </w:rPr>
        <w:t xml:space="preserve">中标价</w:t>
      </w:r>
      <w:r>
        <w:rPr>
          <w:rFonts w:hint="eastAsia" w:ascii="宋体" w:hAnsi="宋体" w:eastAsia="宋体" w:cs="宋体"/>
          <w:color w:val="auto"/>
          <w:sz w:val="24"/>
          <w:highlight w:val="none"/>
          <w:lang w:val="en-US" w:eastAsia="zh-CN"/>
        </w:rPr>
        <w:t xml:space="preserve">×</w:t>
      </w:r>
      <w:r>
        <w:rPr>
          <w:rFonts w:hint="eastAsia" w:asciiTheme="minorEastAsia" w:hAnsiTheme="minorEastAsia" w:eastAsiaTheme="minorEastAsia"/>
          <w:color w:val="auto"/>
          <w:sz w:val="24"/>
          <w:highlight w:val="none"/>
        </w:rPr>
        <w:t xml:space="preserve">7</w:t>
      </w:r>
      <w:r>
        <w:rPr>
          <w:rFonts w:asciiTheme="minorEastAsia" w:hAnsiTheme="minorEastAsia" w:eastAsiaTheme="minorEastAsia"/>
          <w:color w:val="auto"/>
          <w:sz w:val="24"/>
          <w:highlight w:val="none"/>
        </w:rPr>
        <w:t xml:space="preserve">0</w:t>
      </w:r>
      <w:r>
        <w:rPr>
          <w:rFonts w:hint="eastAsia" w:asciiTheme="minorEastAsia" w:hAnsiTheme="minorEastAsia" w:eastAsiaTheme="minorEastAsia"/>
          <w:color w:val="auto"/>
          <w:sz w:val="24"/>
          <w:highlight w:val="none"/>
        </w:rPr>
        <w:t xml:space="preserve">%计算。由中标人在取得中标（成交）通知书时向采购代理机构支付。</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代理费用收款信息：</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收款单位：江苏正德建设管理有限公司   </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收款账号：1104024109200128636</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开户银行：工商银行丹阳新城支行</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4.2不论投标的结果如何，采购人和采购代理机构在任何情况下均无义务和责任承担上述费用。</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bookmarkStart w:id="55" w:name="_Toc98669336"/>
      <w:r/>
      <w:bookmarkStart w:id="56" w:name="_Toc98669694"/>
      <w:r/>
      <w:bookmarkStart w:id="57" w:name="_Toc92168005"/>
      <w:r/>
      <w:bookmarkStart w:id="58" w:name="_Toc20732973"/>
      <w:r/>
      <w:bookmarkStart w:id="59" w:name="_Toc100386039"/>
      <w:r>
        <w:rPr>
          <w:rFonts w:hint="eastAsia" w:asciiTheme="minorEastAsia" w:hAnsiTheme="minorEastAsia" w:eastAsiaTheme="minorEastAsia"/>
          <w:color w:val="auto"/>
          <w:sz w:val="30"/>
          <w:highlight w:val="none"/>
          <w:lang w:eastAsia="zh-CN"/>
        </w:rPr>
        <w:t xml:space="preserve">5．政策功能</w:t>
      </w:r>
      <w:bookmarkEnd w:id="55"/>
      <w:r/>
      <w:bookmarkEnd w:id="56"/>
      <w:r/>
      <w:bookmarkEnd w:id="57"/>
      <w:r/>
      <w:bookmarkEnd w:id="58"/>
      <w:r/>
      <w:bookmarkEnd w:id="59"/>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5.1支持中小企业发展</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符合中小企业划分标准的个体工商户，在政府采购活动中视同中小企业。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5.1.2.2在工程采购项目中，工程由中小企业承建，即工程施工单位为中小企业；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0" w:name="_Hlk132637972"/>
      <w:r>
        <w:rPr>
          <w:rFonts w:asciiTheme="minorEastAsia" w:hAnsiTheme="minorEastAsia" w:eastAsiaTheme="minorEastAsia"/>
          <w:color w:val="auto"/>
          <w:sz w:val="24"/>
          <w:highlight w:val="none"/>
        </w:rPr>
        <w:t xml:space="preserve">10%</w:t>
      </w:r>
      <w:bookmarkEnd w:id="60"/>
      <w:r>
        <w:rPr>
          <w:rFonts w:asciiTheme="minorEastAsia" w:hAnsiTheme="minorEastAsia" w:eastAsiaTheme="minorEastAsia"/>
          <w:color w:val="auto"/>
          <w:sz w:val="24"/>
          <w:highlight w:val="none"/>
        </w:rPr>
        <w:t xml:space="preserve">的扣除，</w:t>
      </w:r>
      <w:bookmarkStart w:id="61" w:name="_Hlk132637893"/>
      <w:r>
        <w:rPr>
          <w:rFonts w:asciiTheme="minorEastAsia" w:hAnsiTheme="minorEastAsia" w:eastAsiaTheme="minorEastAsia"/>
          <w:color w:val="auto"/>
          <w:sz w:val="24"/>
          <w:highlight w:val="none"/>
        </w:rPr>
        <w:t xml:space="preserve">用扣除后的价格参与评审</w:t>
      </w:r>
      <w:bookmarkEnd w:id="61"/>
      <w:r>
        <w:rPr>
          <w:rFonts w:asciiTheme="minorEastAsia" w:hAnsiTheme="minorEastAsia" w:eastAsiaTheme="minorEastAsia"/>
          <w:color w:val="auto"/>
          <w:sz w:val="24"/>
          <w:highlight w:val="none"/>
        </w:rPr>
        <w:t xml:space="preserve">。接受大中型企业与小微企业组成联合体或者允许大中型企业向一家或者多家小微企业分包的</w:t>
      </w:r>
      <w:r>
        <w:rPr>
          <w:rFonts w:hint="eastAsia" w:asciiTheme="minorEastAsia" w:hAnsiTheme="minorEastAsia" w:eastAsiaTheme="minorEastAsia"/>
          <w:color w:val="auto"/>
          <w:sz w:val="24"/>
          <w:highlight w:val="none"/>
        </w:rPr>
        <w:t xml:space="preserve">政府</w:t>
      </w:r>
      <w:r>
        <w:rPr>
          <w:rFonts w:asciiTheme="minorEastAsia" w:hAnsiTheme="minorEastAsia" w:eastAsiaTheme="minorEastAsia"/>
          <w:color w:val="auto"/>
          <w:sz w:val="24"/>
          <w:highlight w:val="none"/>
        </w:rPr>
        <w:t xml:space="preserve">采购</w:t>
      </w:r>
      <w:r>
        <w:rPr>
          <w:rFonts w:hint="eastAsia" w:asciiTheme="minorEastAsia" w:hAnsiTheme="minorEastAsia" w:eastAsiaTheme="minorEastAsia"/>
          <w:color w:val="auto"/>
          <w:sz w:val="24"/>
          <w:highlight w:val="none"/>
        </w:rPr>
        <w:t xml:space="preserve">货物或服务</w:t>
      </w:r>
      <w:r>
        <w:rPr>
          <w:rFonts w:asciiTheme="minorEastAsia" w:hAnsiTheme="minorEastAsia" w:eastAsiaTheme="minorEastAsia"/>
          <w:color w:val="auto"/>
          <w:sz w:val="24"/>
          <w:highlight w:val="none"/>
        </w:rPr>
        <w:t xml:space="preserve">项目，对于联合协议或者分包意向协议</w:t>
      </w:r>
      <w:r>
        <w:rPr>
          <w:rFonts w:hint="eastAsia" w:asciiTheme="minorEastAsia" w:hAnsiTheme="minorEastAsia" w:eastAsiaTheme="minorEastAsia"/>
          <w:color w:val="auto"/>
          <w:sz w:val="24"/>
          <w:highlight w:val="none"/>
        </w:rPr>
        <w:t xml:space="preserve">约定小型、微型企业的协议合同金额占到合同总金额30%以上的，给予联合体</w:t>
      </w: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%的价格扣除。联合体各方均为小型、微型企业的，联合体视同为小型、微型企业享受</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的价格扣除，</w:t>
      </w:r>
      <w:r>
        <w:rPr>
          <w:rFonts w:asciiTheme="minorEastAsia" w:hAnsiTheme="minorEastAsia" w:eastAsiaTheme="minorEastAsia"/>
          <w:color w:val="auto"/>
          <w:sz w:val="24"/>
          <w:highlight w:val="none"/>
        </w:rPr>
        <w:t xml:space="preserve">用扣除后的价格参与评审</w:t>
      </w:r>
      <w:r>
        <w:rPr>
          <w:rFonts w:hint="eastAsia" w:asciiTheme="minorEastAsia" w:hAnsiTheme="minorEastAsia" w:eastAsiaTheme="minorEastAsia"/>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5.2强制采购信息安全产品</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5.3支持绿色发展</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5.3.1</w:t>
      </w:r>
      <w:r>
        <w:rPr>
          <w:rFonts w:hint="eastAsia" w:asciiTheme="minorEastAsia" w:hAnsiTheme="minorEastAsia" w:eastAsiaTheme="minorEastAsia"/>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asciiTheme="minorEastAsia" w:hAnsiTheme="minorEastAsia" w:eastAsiaTheme="minorEastAsia"/>
          <w:color w:val="auto"/>
          <w:sz w:val="24"/>
          <w:highlight w:val="none"/>
        </w:rPr>
        <w:t xml:space="preserve">3.2</w:t>
      </w:r>
      <w:r>
        <w:rPr>
          <w:rFonts w:hint="eastAsia" w:asciiTheme="minorEastAsia" w:hAnsiTheme="minorEastAsia" w:eastAsiaTheme="minorEastAsia"/>
          <w:color w:val="auto"/>
          <w:sz w:val="24"/>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5.4 根据国家扶持中小企业的有关政策，采购项目中标人在履约过程中如遇到资金困难，凭政府采购合同在相关金融机构办理授信申请，相关事宜请查阅“</w:t>
      </w:r>
      <w:r>
        <w:rPr>
          <w:rFonts w:asciiTheme="minorEastAsia" w:hAnsiTheme="minorEastAsia" w:eastAsiaTheme="minorEastAsia"/>
          <w:color w:val="auto"/>
          <w:sz w:val="24"/>
          <w:highlight w:val="none"/>
        </w:rPr>
        <w:t xml:space="preserve">江苏政府采购网</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政采贷</w:t>
      </w:r>
      <w:r>
        <w:rPr>
          <w:rFonts w:hint="eastAsia" w:asciiTheme="minorEastAsia" w:hAnsiTheme="minorEastAsia" w:eastAsiaTheme="minorEastAsia"/>
          <w:color w:val="auto"/>
          <w:sz w:val="24"/>
          <w:highlight w:val="none"/>
        </w:rPr>
        <w:t xml:space="preserve">”网站。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5.5支持创新发展</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5.6平等对待内外资企业和符合条件的破产重整企业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5.6.1平等对待内外资企业和符合条件的破产重整企业，切实保障企业公平竞争，平等维护企业的合法利益。</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5.7 强化政府采购异常低价审查</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5.7.1根据《关于推动解决政府采购异常低价问题的通知》（财库〔2026〕2号）的要求，评审过程中出现下列情形之一的，评审委员会应当启动异常低价投标（响应）审查程序：</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3.投标（响应）报价低于采购项目最高限价45%的，即投标（响应）报价&lt;采购项目最高限价×45%；</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4.评审委员会基于专业判断，认为供应商报价过低，有可能影响产品质量或者不能诚信履约的其他情形。</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5.8实施本国产品标准</w:t>
      </w:r>
      <w:r>
        <w:rPr>
          <w:rFonts w:hint="eastAsia" w:ascii="宋体" w:hAnsi="宋体" w:eastAsia="宋体" w:cs="宋体"/>
          <w:color w:val="auto"/>
          <w:sz w:val="24"/>
          <w:highlight w:val="none"/>
        </w:rPr>
        <w:t xml:space="preserve">及相关政策</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5.8.1</w:t>
      </w:r>
      <w:r>
        <w:rPr>
          <w:rFonts w:hint="eastAsia" w:ascii="宋体" w:hAnsi="宋体" w:eastAsia="宋体" w:cs="宋体"/>
          <w:color w:val="auto"/>
          <w:sz w:val="24"/>
          <w:highlight w:val="none"/>
        </w:rPr>
        <w:t xml:space="preserve">认定标准</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（1）在中国境内生产</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产品应当在中国境内生产，即在中华人民共和国关境内实现从原材料、组件到产品的属性改变。</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①为确保产品在运输或者储存期间保持某种状态而进行的操作；</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②为产品运输或者销售进行的包装或者展示；</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③在产品或者其包装上粘贴或者印刷品牌、标志、标识以及其他用于区别的标记；</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④简单的上漆、磨光和分装；</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⑤其他不属于属性改变的情形。</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（2）在中国境内生产的组件成本占比达到规定比例</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（3）特定产品的关键组件、关键工序符合相关要求</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对特定产品，在符合第（1）项和第（2）项条件的基础上，应当符合财政部会同有关行业主管部门确定的其关键组件、关键工序在中国境内生产、完成等要求。</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5.8.3.1产品在中国境内生产的组件成本核算规则。产品在中国境内生产的组件成本，按照《中国境内生产的组件成本核算基本规则》计算。</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5.8.3.2有关证明文件。</w:t>
      </w:r>
      <w:r>
        <w:rPr>
          <w:rFonts w:hint="eastAsia" w:asciiTheme="minorEastAsia" w:hAnsiTheme="minorEastAsia" w:eastAsiaTheme="minorEastAsia"/>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768"/>
        <w:ind w:firstLine="480"/>
        <w:spacing w:line="4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5.8.3.4中华人民共和国缔结或者共同参加的国际条约、协定对政府采购中本国产品政策另有规定的，按照有关条约、协定执行。</w:t>
      </w:r>
      <w:r/>
    </w:p>
    <w:p>
      <w:pPr>
        <w:ind w:firstLine="478"/>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756"/>
        <w:jc w:val="center"/>
        <w:keepLines w:val="0"/>
        <w:keepNext w:val="0"/>
        <w:spacing w:before="0" w:after="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二、招标文件</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bookmarkStart w:id="62" w:name="_Toc92168008"/>
      <w:r/>
      <w:bookmarkStart w:id="63" w:name="_Toc98669339"/>
      <w:r/>
      <w:bookmarkStart w:id="64" w:name="_Toc100386042"/>
      <w:r/>
      <w:bookmarkStart w:id="65" w:name="_Toc98669697"/>
      <w:r/>
      <w:bookmarkStart w:id="66" w:name="_Toc20732976"/>
      <w:r>
        <w:rPr>
          <w:rFonts w:hint="eastAsia" w:asciiTheme="minorEastAsia" w:hAnsiTheme="minorEastAsia" w:eastAsiaTheme="minorEastAsia"/>
          <w:color w:val="auto"/>
          <w:sz w:val="30"/>
          <w:highlight w:val="none"/>
          <w:lang w:eastAsia="zh-CN"/>
        </w:rPr>
        <w:t xml:space="preserve">6.招标文件组成</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6.1 招标文件包括：</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（1）投标邀请</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（2）投标人须知                  </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（3）拟签订的合同文本</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（4）采购需求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（5）评标办法和标准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（6）投标文件（格式）</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6.2 投标人获取本文件后，应认真阅读本文件中所有的事项、格式条款和规范等要求。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6.3 </w:t>
      </w:r>
      <w:r>
        <w:rPr>
          <w:rFonts w:hint="eastAsia" w:asciiTheme="minorEastAsia" w:hAnsiTheme="minorEastAsia" w:eastAsiaTheme="minorEastAsia"/>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olor w:val="auto"/>
          <w:sz w:val="24"/>
          <w:highlight w:val="none"/>
        </w:rPr>
        <w:t xml:space="preserve">。</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7．招标文件的澄清</w:t>
      </w:r>
      <w:bookmarkEnd w:id="62"/>
      <w:r/>
      <w:bookmarkEnd w:id="63"/>
      <w:r/>
      <w:bookmarkEnd w:id="64"/>
      <w:r/>
      <w:bookmarkEnd w:id="65"/>
      <w:r/>
      <w:bookmarkEnd w:id="66"/>
      <w:r/>
      <w:bookmarkStart w:id="67" w:name="_Toc98669340"/>
      <w:r/>
      <w:bookmarkStart w:id="68" w:name="_Toc20732977"/>
      <w:r/>
      <w:bookmarkStart w:id="69" w:name="_Toc100386043"/>
      <w:r/>
      <w:bookmarkStart w:id="70" w:name="_Toc92168009"/>
      <w:r/>
      <w:bookmarkStart w:id="71" w:name="_Toc98669698"/>
      <w:r>
        <w:rPr>
          <w:rFonts w:hint="eastAsia" w:asciiTheme="minorEastAsia" w:hAnsiTheme="minorEastAsia" w:eastAsiaTheme="minorEastAsia"/>
          <w:color w:val="auto"/>
          <w:sz w:val="30"/>
          <w:highlight w:val="none"/>
          <w:lang w:eastAsia="zh-CN"/>
        </w:rPr>
        <w:t xml:space="preserve">和修改</w:t>
      </w:r>
      <w:bookmarkEnd w:id="67"/>
      <w:r/>
      <w:bookmarkEnd w:id="68"/>
      <w:r/>
      <w:bookmarkEnd w:id="69"/>
      <w:r/>
      <w:bookmarkEnd w:id="70"/>
      <w:r/>
      <w:bookmarkEnd w:id="71"/>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7.1 任何要求对招标文件进行澄清的潜在投标人，应及时联系项目联系人。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7.2 </w:t>
      </w:r>
      <w:r>
        <w:rPr>
          <w:rFonts w:hint="eastAsia" w:asciiTheme="minorEastAsia" w:hAnsiTheme="minorEastAsia" w:eastAsiaTheme="minorEastAsia"/>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7.5 如澄清或修改公告有重新发布招标文件的，投标人应下载最新发布的招标文件制作投标文件。</w:t>
      </w:r>
      <w:r>
        <w:rPr>
          <w:rFonts w:asciiTheme="minorEastAsia" w:hAnsiTheme="minorEastAsia" w:eastAsiaTheme="minorEastAsia"/>
          <w:color w:val="auto"/>
          <w:sz w:val="24"/>
          <w:highlight w:val="none"/>
        </w:rPr>
        <w:t xml:space="preserve">因投标人自身原因未能及时获取的</w:t>
      </w:r>
      <w:r>
        <w:rPr>
          <w:rFonts w:hint="eastAsia" w:asciiTheme="minorEastAsia" w:hAnsiTheme="minorEastAsia" w:eastAsiaTheme="minorEastAsia"/>
          <w:color w:val="auto"/>
          <w:sz w:val="24"/>
          <w:highlight w:val="none"/>
        </w:rPr>
        <w:t xml:space="preserve">，一切后果由投标人自行承担。</w:t>
      </w:r>
      <w:r/>
    </w:p>
    <w:p>
      <w:pPr>
        <w:pStyle w:val="756"/>
        <w:jc w:val="center"/>
        <w:keepLines w:val="0"/>
        <w:keepNext w:val="0"/>
        <w:spacing w:before="200" w:after="20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三、投标文件</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8.编制投标文件的工具</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8.1 供应商须通“苏采云”系统的相关要求编制投标文件。</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9.投标文件语言及度量衡单位</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9.2 投标文件中所使用的计量单位除招标文件中另有特殊规定外，一律使用法定计量单位。</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10.投标文件的构成</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10.1 投标文件分为资格部分、商务部分、技术部分和价格部分。</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10.2 资格部分系指投标人提交的证明其有资格参加投标的文件。</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10.2 商务部分系指投标人提交的证明其中标后有能力履行合同的文件。</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10.3 技术部分系指投标人提交的能够证明投标人提供的货物（服务）符合招标文件规定的文件。</w:t>
      </w:r>
      <w:r/>
    </w:p>
    <w:p>
      <w:pPr>
        <w:pStyle w:val="1956"/>
        <w:ind w:firstLine="425"/>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10.4 具体填写格式详见招标文件第六部分。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11．投标文件的编制</w:t>
      </w:r>
      <w:r/>
    </w:p>
    <w:p>
      <w:pPr>
        <w:ind w:left="1"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11.2 </w:t>
      </w:r>
      <w:r>
        <w:rPr>
          <w:rFonts w:hint="eastAsia" w:asciiTheme="minorEastAsia" w:hAnsiTheme="minorEastAsia" w:eastAsiaTheme="minorEastAsia"/>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11.4 </w:t>
      </w:r>
      <w:r>
        <w:rPr>
          <w:rFonts w:hint="eastAsia" w:asciiTheme="minorEastAsia" w:hAnsiTheme="minorEastAsia" w:eastAsiaTheme="minorEastAsia"/>
          <w:b/>
          <w:color w:val="auto"/>
          <w:sz w:val="24"/>
          <w:highlight w:val="none"/>
        </w:rPr>
        <w:t xml:space="preserve">投标人必须保证投标文件所提供的全部资料合法、真实、可靠。</w:t>
      </w:r>
      <w:r/>
    </w:p>
    <w:p>
      <w:pPr>
        <w:ind w:firstLine="446"/>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30"/>
          <w:highlight w:val="none"/>
        </w:rPr>
        <w:t xml:space="preserve">12．投标保证金</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12.1 本项目不收投标保证金。</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13．投标有效期</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14.1 投标有效期为：投标文件自</w:t>
      </w:r>
      <w:r>
        <w:rPr>
          <w:rFonts w:hint="eastAsia" w:cs="宋体" w:asciiTheme="minorEastAsia" w:hAnsiTheme="minorEastAsia" w:eastAsiaTheme="minorEastAsia"/>
          <w:color w:val="auto"/>
          <w:sz w:val="24"/>
          <w:szCs w:val="28"/>
          <w:highlight w:val="none"/>
        </w:rPr>
        <w:t xml:space="preserve">提交投标文件截止时间</w:t>
      </w:r>
      <w:r>
        <w:rPr>
          <w:rFonts w:hint="eastAsia" w:asciiTheme="minorEastAsia" w:hAnsiTheme="minorEastAsia" w:eastAsiaTheme="minorEastAsia"/>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14.投标文件的式样和签署</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14.1 投标人应通过响应文件制作软件使用数字认证证书对投标文件进行合成、电子签章及加密打包。</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15．投标文件的提交</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15.1 投标文件提交</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15.1.1 投标人须在招标文件规定的截止时间前，通过响应文件编制软件或登录电子交易平台在规定时间内完成提交，提交成功后系统将发送投标回执。</w:t>
      </w:r>
      <w:r>
        <w:rPr>
          <w:rFonts w:hint="eastAsia" w:cs="新宋体" w:asciiTheme="minorEastAsia" w:hAnsiTheme="minorEastAsia" w:eastAsiaTheme="minorEastAsia"/>
          <w:b/>
          <w:color w:val="auto"/>
          <w:sz w:val="24"/>
          <w:highlight w:val="none"/>
          <w:u w:val="single"/>
        </w:rPr>
        <w:t xml:space="preserve">时间以“苏采云”系统时间为准</w:t>
      </w:r>
      <w:r>
        <w:rPr>
          <w:rFonts w:hint="eastAsia" w:asciiTheme="minorEastAsia" w:hAnsiTheme="minorEastAsia" w:eastAsiaTheme="minorEastAsia"/>
          <w:b/>
          <w:color w:val="auto"/>
          <w:sz w:val="24"/>
          <w:highlight w:val="none"/>
          <w:u w:val="single"/>
        </w:rPr>
        <w:t xml:space="preserve">。</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15.1.2 </w:t>
      </w:r>
      <w:r>
        <w:rPr>
          <w:rFonts w:hint="eastAsia" w:asciiTheme="minorEastAsia" w:hAnsiTheme="minorEastAsia" w:eastAsiaTheme="minorEastAsia"/>
          <w:b/>
          <w:color w:val="auto"/>
          <w:sz w:val="24"/>
          <w:highlight w:val="none"/>
          <w:u w:val="single"/>
        </w:rPr>
        <w:t xml:space="preserve">截止时间以后提交的投标文件，</w:t>
      </w:r>
      <w:r>
        <w:rPr>
          <w:rFonts w:hint="eastAsia" w:cs="新宋体" w:asciiTheme="minorEastAsia" w:hAnsiTheme="minorEastAsia" w:eastAsiaTheme="minorEastAsia"/>
          <w:b/>
          <w:color w:val="auto"/>
          <w:sz w:val="24"/>
          <w:highlight w:val="none"/>
          <w:u w:val="single"/>
        </w:rPr>
        <w:t xml:space="preserve">“苏采云” 系统将拒绝接收</w:t>
      </w:r>
      <w:r>
        <w:rPr>
          <w:rFonts w:hint="eastAsia" w:asciiTheme="minorEastAsia" w:hAnsiTheme="minorEastAsia" w:eastAsiaTheme="minorEastAsia"/>
          <w:b/>
          <w:color w:val="auto"/>
          <w:sz w:val="24"/>
          <w:highlight w:val="none"/>
          <w:u w:val="single"/>
        </w:rPr>
        <w:t xml:space="preserve">。投标人应充分考虑网络环境、网络带宽等风险因素。</w:t>
      </w:r>
      <w:r/>
    </w:p>
    <w:p>
      <w:pPr>
        <w:ind w:firstLine="480"/>
        <w:spacing w:line="360" w:lineRule="auto"/>
        <w:rPr>
          <w:rFonts w:asciiTheme="minorEastAsia" w:hAnsiTheme="minorEastAsia" w:eastAsiaTheme="minorEastAsia"/>
          <w:b/>
          <w:color w:val="auto"/>
          <w:sz w:val="24"/>
          <w:szCs w:val="20"/>
          <w:highlight w:val="none"/>
          <w:u w:val="single"/>
        </w:rPr>
      </w:pPr>
      <w:r>
        <w:rPr>
          <w:rFonts w:hint="eastAsia" w:asciiTheme="minorEastAsia" w:hAnsiTheme="minorEastAsia" w:eastAsiaTheme="minorEastAsia"/>
          <w:color w:val="auto"/>
          <w:sz w:val="24"/>
          <w:highlight w:val="none"/>
        </w:rPr>
        <w:t xml:space="preserve">15.1.3 </w:t>
      </w:r>
      <w:r>
        <w:rPr>
          <w:rFonts w:hint="eastAsia" w:asciiTheme="minorEastAsia" w:hAnsiTheme="minorEastAsia" w:eastAsiaTheme="minorEastAsia"/>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15.1.4</w:t>
      </w:r>
      <w:r>
        <w:rPr>
          <w:rFonts w:hint="eastAsia" w:asciiTheme="minorEastAsia" w:hAnsiTheme="minorEastAsia" w:eastAsiaTheme="minorEastAsia"/>
          <w:b/>
          <w:color w:val="auto"/>
          <w:sz w:val="24"/>
          <w:highlight w:val="none"/>
          <w:u w:val="single"/>
        </w:rPr>
        <w:t xml:space="preserve">提交完成后至解密前，</w:t>
      </w:r>
      <w:r>
        <w:rPr>
          <w:rFonts w:hint="eastAsia" w:asciiTheme="minorEastAsia" w:hAnsiTheme="minorEastAsia" w:eastAsiaTheme="minorEastAsia"/>
          <w:b/>
          <w:color w:val="auto"/>
          <w:sz w:val="24"/>
          <w:szCs w:val="20"/>
          <w:highlight w:val="none"/>
          <w:u w:val="single"/>
        </w:rPr>
        <w:t xml:space="preserve">投标人</w:t>
      </w:r>
      <w:r>
        <w:rPr>
          <w:rFonts w:hint="eastAsia" w:asciiTheme="minorEastAsia" w:hAnsiTheme="minorEastAsia" w:eastAsiaTheme="minorEastAsia"/>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15.1.5因不可抗力事件造成的投标文件的损坏、丢失的，采购代理机构不承担责任。</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16．投标文件的补充、修改或者撤回</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16.1</w:t>
      </w:r>
      <w:r>
        <w:rPr>
          <w:rFonts w:asciiTheme="minorEastAsia" w:hAnsiTheme="minorEastAsia" w:eastAsiaTheme="minorEastAsia"/>
          <w:color w:val="auto"/>
          <w:sz w:val="24"/>
          <w:highlight w:val="none"/>
        </w:rPr>
        <w:t xml:space="preserve">在提交截止时间前</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投标人可以对所</w:t>
      </w:r>
      <w:r>
        <w:rPr>
          <w:rFonts w:hint="eastAsia" w:asciiTheme="minorEastAsia" w:hAnsiTheme="minorEastAsia" w:eastAsiaTheme="minorEastAsia"/>
          <w:color w:val="auto"/>
          <w:sz w:val="24"/>
          <w:highlight w:val="none"/>
        </w:rPr>
        <w:t xml:space="preserve">提交</w:t>
      </w:r>
      <w:r>
        <w:rPr>
          <w:rFonts w:asciiTheme="minorEastAsia" w:hAnsiTheme="minorEastAsia" w:eastAsiaTheme="minorEastAsia"/>
          <w:color w:val="auto"/>
          <w:sz w:val="24"/>
          <w:highlight w:val="none"/>
        </w:rPr>
        <w:t xml:space="preserve">的投标文件进行</w:t>
      </w:r>
      <w:r>
        <w:rPr>
          <w:rFonts w:hint="eastAsia" w:asciiTheme="minorEastAsia" w:hAnsiTheme="minorEastAsia" w:eastAsiaTheme="minorEastAsia"/>
          <w:color w:val="auto"/>
          <w:sz w:val="24"/>
          <w:highlight w:val="none"/>
        </w:rPr>
        <w:t xml:space="preserve">补充、修改或者撤回</w:t>
      </w:r>
      <w:r>
        <w:rPr>
          <w:rFonts w:asciiTheme="minorEastAsia" w:hAnsiTheme="minorEastAsia" w:eastAsiaTheme="minorEastAsia"/>
          <w:color w:val="auto"/>
          <w:sz w:val="24"/>
          <w:highlight w:val="none"/>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16.2投标人在提交截止时间前需要对投标文件进行补充、修改的，应当使用响应文件制作软件重新制作并提交。</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16.3 在提交截止时间之后，投标人不得对其投标文件作任何修改或撤回。</w:t>
      </w:r>
      <w:r/>
    </w:p>
    <w:p>
      <w:pPr>
        <w:pStyle w:val="756"/>
        <w:ind w:firstLine="480"/>
        <w:jc w:val="left"/>
        <w:keepLines w:val="0"/>
        <w:keepNext w:val="0"/>
        <w:spacing w:before="0" w:after="0" w:line="360" w:lineRule="auto"/>
        <w:rPr>
          <w:rFonts w:asciiTheme="minorEastAsia" w:hAnsiTheme="minorEastAsia" w:eastAsiaTheme="minorEastAsia"/>
          <w:b w:val="0"/>
          <w:color w:val="auto"/>
          <w:sz w:val="24"/>
          <w:szCs w:val="24"/>
          <w:highlight w:val="none"/>
          <w:lang w:eastAsia="zh-CN"/>
        </w:rPr>
      </w:pPr>
      <w:r>
        <w:rPr>
          <w:rFonts w:hint="eastAsia" w:asciiTheme="minorEastAsia" w:hAnsiTheme="minorEastAsia" w:eastAsiaTheme="minorEastAsia"/>
          <w:b w:val="0"/>
          <w:color w:val="auto"/>
          <w:sz w:val="24"/>
          <w:szCs w:val="24"/>
          <w:highlight w:val="none"/>
          <w:lang w:eastAsia="zh-CN"/>
        </w:rPr>
        <w:t xml:space="preserve">16.4 在提交截止时间至招标文件中规定的投标有效期满之间，投标人不得撤回其投标。</w:t>
      </w:r>
      <w:r/>
    </w:p>
    <w:p>
      <w:pPr>
        <w:pStyle w:val="756"/>
        <w:ind w:firstLine="643"/>
        <w:jc w:val="center"/>
        <w:keepLines w:val="0"/>
        <w:keepNext w:val="0"/>
        <w:spacing w:before="200" w:after="20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五、开标及评标</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17．开标</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17.1 采购代理机构将按招标文件规定的时间、地点主持开标。</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17.2 投标人应当在开标前做好充分准备，使用制作该投标文件的同一数字认证证书准时参加开标。</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17.3开标仪式由采购代理机构组织。苏采云系统将自动对项目进行开标，并公布各投标人名称和投标价格。</w:t>
      </w:r>
      <w:r/>
    </w:p>
    <w:p>
      <w:pPr>
        <w:ind w:left="1" w:firstLine="482"/>
        <w:spacing w:line="360" w:lineRule="auto"/>
        <w:rPr>
          <w:rFonts w:asciiTheme="minorEastAsia" w:hAnsiTheme="minorEastAsia" w:eastAsiaTheme="minorEastAsia"/>
          <w:color w:val="auto"/>
          <w:highlight w:val="none"/>
        </w:rPr>
      </w:pPr>
      <w:r>
        <w:rPr>
          <w:rFonts w:hint="eastAsia" w:asciiTheme="minorEastAsia" w:hAnsiTheme="minorEastAsia" w:eastAsiaTheme="minorEastAsia"/>
          <w:b/>
          <w:color w:val="auto"/>
          <w:sz w:val="24"/>
          <w:highlight w:val="none"/>
        </w:rPr>
        <w:t xml:space="preserve">17.4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Theme="minorEastAsia" w:hAnsiTheme="minorEastAsia" w:eastAsiaTheme="minorEastAsia"/>
          <w:color w:val="auto"/>
          <w:sz w:val="24"/>
          <w:highlight w:val="none"/>
        </w:rPr>
        <w:t xml:space="preserve">17.5</w:t>
      </w:r>
      <w:r>
        <w:rPr>
          <w:rFonts w:hint="eastAsia" w:ascii="宋体" w:hAnsi="宋体" w:eastAsia="宋体" w:cs="宋体"/>
          <w:color w:val="auto"/>
          <w:sz w:val="24"/>
          <w:highlight w:val="none"/>
        </w:rPr>
        <w:t xml:space="preserve">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7.6</w:t>
      </w:r>
      <w:r>
        <w:rPr>
          <w:rFonts w:hint="eastAsia" w:ascii="宋体" w:hAnsi="宋体" w:eastAsia="宋体" w:cs="宋体"/>
          <w:color w:val="auto"/>
          <w:sz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7.7</w:t>
      </w:r>
      <w:r>
        <w:rPr>
          <w:rFonts w:hint="eastAsia" w:ascii="宋体" w:hAnsi="宋体" w:eastAsia="宋体" w:cs="宋体"/>
          <w:color w:val="auto"/>
          <w:sz w:val="24"/>
          <w:highlight w:val="none"/>
        </w:rPr>
        <w:t xml:space="preserve">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7.8</w:t>
      </w:r>
      <w:r>
        <w:rPr>
          <w:rFonts w:hint="eastAsia" w:ascii="宋体" w:hAnsi="宋体" w:eastAsia="宋体" w:cs="宋体"/>
          <w:color w:val="auto"/>
          <w:sz w:val="24"/>
          <w:highlight w:val="none"/>
        </w:rPr>
        <w:t xml:space="preserve">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7.9</w:t>
      </w:r>
      <w:r>
        <w:rPr>
          <w:rFonts w:hint="eastAsia" w:ascii="宋体" w:hAnsi="宋体" w:eastAsia="宋体" w:cs="宋体"/>
          <w:color w:val="auto"/>
          <w:sz w:val="24"/>
          <w:highlight w:val="none"/>
        </w:rPr>
        <w:t xml:space="preserve">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7.10</w:t>
      </w:r>
      <w:r>
        <w:rPr>
          <w:rFonts w:hint="eastAsia" w:ascii="宋体" w:hAnsi="宋体" w:eastAsia="宋体" w:cs="宋体"/>
          <w:color w:val="auto"/>
          <w:sz w:val="24"/>
          <w:highlight w:val="none"/>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Theme="minorEastAsia" w:hAnsiTheme="minorEastAsia" w:eastAsiaTheme="minorEastAsia"/>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7.11</w:t>
      </w:r>
      <w:r>
        <w:rPr>
          <w:rFonts w:hint="eastAsia" w:ascii="宋体" w:hAnsi="宋体" w:eastAsia="宋体" w:cs="宋体"/>
          <w:color w:val="auto"/>
          <w:sz w:val="24"/>
          <w:highlight w:val="none"/>
        </w:rPr>
        <w:t xml:space="preserve"> 投标人须配合开标工作，否则一切后果由投标人自行承担</w:t>
      </w:r>
      <w:r>
        <w:rPr>
          <w:rFonts w:hint="eastAsia" w:asciiTheme="minorEastAsia" w:hAnsiTheme="minorEastAsia" w:eastAsiaTheme="minorEastAsia"/>
          <w:color w:val="auto"/>
          <w:sz w:val="24"/>
          <w:highlight w:val="none"/>
        </w:rPr>
        <w:t xml:space="preserve">。</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18.投标人资格审查</w:t>
      </w:r>
      <w:r/>
    </w:p>
    <w:p>
      <w:pPr>
        <w:pStyle w:val="766"/>
        <w:ind w:firstLine="480"/>
        <w:spacing w:line="360" w:lineRule="auto"/>
        <w:rPr>
          <w:rFonts w:asciiTheme="minorEastAsia" w:hAnsiTheme="minorEastAsia" w:eastAsiaTheme="minorEastAsia"/>
          <w:b/>
          <w:color w:val="auto"/>
          <w:sz w:val="24"/>
          <w:highlight w:val="none"/>
          <w:lang w:eastAsia="zh-CN"/>
        </w:rPr>
      </w:pPr>
      <w:r>
        <w:rPr>
          <w:rFonts w:hint="eastAsia" w:asciiTheme="minorEastAsia" w:hAnsiTheme="minorEastAsia" w:eastAsiaTheme="minorEastAsia"/>
          <w:color w:val="auto"/>
          <w:sz w:val="24"/>
          <w:highlight w:val="none"/>
          <w:lang w:eastAsia="zh-CN"/>
        </w:rPr>
        <w:t xml:space="preserve">18.1 开标结束后，采购人或者采购代理机构将依法对投标人的资格进行审查。</w:t>
      </w:r>
      <w:r>
        <w:rPr>
          <w:rFonts w:hint="eastAsia" w:asciiTheme="minorEastAsia" w:hAnsiTheme="minorEastAsia" w:eastAsiaTheme="minorEastAsia"/>
          <w:b/>
          <w:color w:val="auto"/>
          <w:sz w:val="24"/>
          <w:highlight w:val="none"/>
          <w:lang w:eastAsia="zh-CN"/>
        </w:rPr>
        <w:t xml:space="preserve">合格投标人不足3家的，不进入后续程序。</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19．评标委员会组成</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采购项目符合下列情形之一的，评标委员会成员人数应当为7人以上单数：</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（一）采购预算金额在1000万元以上；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（二）技术复杂；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（三）社会影响较大。</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评标委员会成员名单在评标结果公告前应当保密。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20.投标人符合性审查</w:t>
      </w:r>
      <w:r/>
    </w:p>
    <w:p>
      <w:pPr>
        <w:pStyle w:val="766"/>
        <w:ind w:firstLine="480"/>
        <w:spacing w:line="360" w:lineRule="auto"/>
        <w:rPr>
          <w:rFonts w:hint="eastAsia" w:asciiTheme="minorEastAsia" w:hAnsiTheme="minorEastAsia" w:eastAsiaTheme="minorEastAsia"/>
          <w:b w:val="0"/>
          <w:color w:val="auto"/>
          <w:sz w:val="24"/>
          <w:szCs w:val="24"/>
          <w:highlight w:val="none"/>
          <w:lang w:eastAsia="zh-CN"/>
        </w:rPr>
      </w:pPr>
      <w:r>
        <w:rPr>
          <w:rFonts w:hint="eastAsia" w:asciiTheme="minorEastAsia" w:hAnsiTheme="minorEastAsia" w:eastAsiaTheme="minorEastAsia"/>
          <w:color w:val="auto"/>
          <w:sz w:val="24"/>
          <w:highlight w:val="none"/>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Theme="minorEastAsia" w:hAnsiTheme="minorEastAsia" w:eastAsiaTheme="minorEastAsia"/>
          <w:b/>
          <w:color w:val="auto"/>
          <w:sz w:val="24"/>
          <w:highlight w:val="none"/>
          <w:lang w:eastAsia="zh-CN"/>
        </w:rPr>
        <w:t xml:space="preserve">符合性审查合格投标人不足3家的，不进入详细评审环节。</w:t>
      </w:r>
      <w:r/>
    </w:p>
    <w:p>
      <w:pPr>
        <w:pStyle w:val="756"/>
        <w:ind w:firstLine="480"/>
        <w:keepLines w:val="0"/>
        <w:keepNext w:val="0"/>
        <w:spacing w:before="0" w:after="0" w:line="360" w:lineRule="auto"/>
        <w:rPr>
          <w:rFonts w:asciiTheme="minorEastAsia" w:hAnsiTheme="minorEastAsia" w:eastAsiaTheme="minorEastAsia"/>
          <w:b w:val="0"/>
          <w:color w:val="auto"/>
          <w:sz w:val="24"/>
          <w:szCs w:val="24"/>
          <w:highlight w:val="none"/>
          <w:lang w:eastAsia="zh-CN"/>
        </w:rPr>
      </w:pPr>
      <w:r>
        <w:rPr>
          <w:rFonts w:hint="eastAsia" w:asciiTheme="minorEastAsia" w:hAnsiTheme="minorEastAsia" w:eastAsiaTheme="minorEastAsia"/>
          <w:b w:val="0"/>
          <w:color w:val="auto"/>
          <w:sz w:val="24"/>
          <w:szCs w:val="24"/>
          <w:highlight w:val="none"/>
          <w:lang w:eastAsia="zh-CN"/>
        </w:rPr>
        <w:t xml:space="preserve">20.</w:t>
      </w:r>
      <w:r>
        <w:rPr>
          <w:rFonts w:hint="eastAsia" w:asciiTheme="minorEastAsia" w:hAnsiTheme="minorEastAsia" w:eastAsiaTheme="minorEastAsia"/>
          <w:b w:val="0"/>
          <w:color w:val="auto"/>
          <w:sz w:val="24"/>
          <w:szCs w:val="24"/>
          <w:highlight w:val="none"/>
          <w:lang w:val="en-US" w:eastAsia="zh-CN"/>
        </w:rPr>
        <w:t xml:space="preserve">2</w:t>
      </w:r>
      <w:r>
        <w:rPr>
          <w:rFonts w:hint="eastAsia" w:asciiTheme="minorEastAsia" w:hAnsiTheme="minorEastAsia" w:eastAsiaTheme="minorEastAsia"/>
          <w:b w:val="0"/>
          <w:color w:val="auto"/>
          <w:sz w:val="24"/>
          <w:szCs w:val="24"/>
          <w:highlight w:val="none"/>
          <w:lang w:eastAsia="zh-CN"/>
        </w:rPr>
        <w:t xml:space="preserve">投标文件澄清</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lang w:val="en-US" w:eastAsia="zh-CN"/>
        </w:rPr>
        <w:t xml:space="preserve">2</w:t>
      </w:r>
      <w:r>
        <w:rPr>
          <w:rFonts w:hint="eastAsia" w:asciiTheme="minorEastAsia" w:hAnsiTheme="minorEastAsia" w:eastAsiaTheme="minorEastAsia"/>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lang w:val="en-US" w:eastAsia="zh-CN"/>
        </w:rPr>
        <w:t xml:space="preserve">2</w:t>
      </w:r>
      <w:r>
        <w:rPr>
          <w:rFonts w:hint="eastAsia" w:asciiTheme="minorEastAsia" w:hAnsiTheme="minorEastAsia" w:eastAsiaTheme="minorEastAsia"/>
          <w:color w:val="auto"/>
          <w:sz w:val="24"/>
          <w:highlight w:val="none"/>
        </w:rPr>
        <w:t xml:space="preserve">.2投标人的澄清应登录电子交易平台进入“澄清事项”模块进行。</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20.</w:t>
      </w:r>
      <w:r>
        <w:rPr>
          <w:rFonts w:hint="eastAsia" w:asciiTheme="minorEastAsia" w:hAnsiTheme="minorEastAsia" w:eastAsiaTheme="minorEastAsia"/>
          <w:color w:val="auto"/>
          <w:sz w:val="24"/>
          <w:highlight w:val="none"/>
          <w:lang w:val="en-US" w:eastAsia="zh-CN"/>
        </w:rPr>
        <w:t xml:space="preserve">3</w:t>
      </w:r>
      <w:r>
        <w:rPr>
          <w:rFonts w:hint="eastAsia" w:asciiTheme="minorEastAsia" w:hAnsiTheme="minorEastAsia" w:eastAsiaTheme="minorEastAsia"/>
          <w:color w:val="auto"/>
          <w:sz w:val="24"/>
          <w:highlight w:val="none"/>
        </w:rPr>
        <w:t xml:space="preserve"> 开标至评标结束期间，投标人应保持系统在线，如因</w:t>
      </w:r>
      <w:r>
        <w:rPr>
          <w:rFonts w:hint="eastAsia" w:asciiTheme="minorEastAsia" w:hAnsiTheme="minorEastAsia" w:eastAsiaTheme="minorEastAsia"/>
          <w:b/>
          <w:bCs/>
          <w:color w:val="auto"/>
          <w:sz w:val="24"/>
          <w:highlight w:val="none"/>
        </w:rPr>
        <w:t xml:space="preserve">投标人自身原因</w:t>
      </w:r>
      <w:r>
        <w:rPr>
          <w:rFonts w:hint="eastAsia" w:asciiTheme="minorEastAsia" w:hAnsiTheme="minorEastAsia" w:eastAsiaTheme="minorEastAsia"/>
          <w:b/>
          <w:color w:val="auto"/>
          <w:sz w:val="24"/>
          <w:highlight w:val="none"/>
        </w:rPr>
        <w:t xml:space="preserve">未在规定时间内按评标委员会要求进行澄清、说明或者补正的，一切后果由投标人自行承担。</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21．无效投标的情形</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21.1 投标人存在下列情况之一的，其投标无效：　</w:t>
      </w:r>
      <w:r/>
    </w:p>
    <w:p>
      <w:pPr>
        <w:ind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（1）投标文件未按招标文件要求进行有效签章的；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（2）报价超过招标文件中规定的预算金额或最高限价的；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（4）投标文件含有采购人不能接受的附加条件的;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（5）</w:t>
      </w:r>
      <w:r>
        <w:rPr>
          <w:rFonts w:hint="eastAsia" w:ascii="宋体" w:hAnsi="宋体" w:eastAsia="宋体" w:cs="宋体"/>
          <w:b/>
          <w:color w:val="auto"/>
          <w:sz w:val="24"/>
          <w:highlight w:val="none"/>
          <w:u w:val="single"/>
        </w:rPr>
        <w:t xml:space="preserve">符合招标文件规定的异常低价投标情形</w:t>
      </w:r>
      <w:r>
        <w:rPr>
          <w:rFonts w:hint="eastAsia" w:asciiTheme="minorEastAsia" w:hAnsiTheme="minorEastAsia" w:eastAsiaTheme="minorEastAsia"/>
          <w:b/>
          <w:color w:val="auto"/>
          <w:sz w:val="24"/>
          <w:highlight w:val="none"/>
          <w:u w:val="single"/>
        </w:rPr>
        <w:t xml:space="preserve">；</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（6）</w:t>
      </w:r>
      <w:r>
        <w:rPr>
          <w:rFonts w:hint="eastAsia" w:ascii="宋体" w:hAnsi="宋体" w:eastAsia="宋体" w:cs="宋体"/>
          <w:b/>
          <w:color w:val="auto"/>
          <w:sz w:val="24"/>
          <w:highlight w:val="none"/>
          <w:u w:val="single"/>
        </w:rPr>
        <w:t xml:space="preserve">投标人对根据修正原则修正后的报价不确认的</w:t>
      </w:r>
      <w:r>
        <w:rPr>
          <w:rFonts w:hint="eastAsia" w:asciiTheme="minorEastAsia" w:hAnsiTheme="minorEastAsia" w:eastAsiaTheme="minorEastAsia"/>
          <w:b/>
          <w:color w:val="auto"/>
          <w:sz w:val="24"/>
          <w:highlight w:val="none"/>
          <w:u w:val="single"/>
        </w:rPr>
        <w:t xml:space="preserve">；</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（7）投标文件中提供了虚假或失实资料的；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（8）投标人未通过符合性审查或资格审查的；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（9）投标人存在串通投标情形的；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（10）为本项目提供整体设计、规范编制或者项目管理、监理、检测等服务的；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（12）投标文件不满足招标文件的其它实质性要求的；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（13）如有委托代理人，未提供投标人为其缴纳社保证明材料的；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（14）参数部分负偏离程度过大或过多，经评委会认定影响采购人实际使用的；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（15）投标文件不满足招标文件的加★要求的；</w:t>
      </w:r>
      <w:r/>
    </w:p>
    <w:p>
      <w:pPr>
        <w:ind w:left="1" w:firstLine="482"/>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（16）法律、法规、规章（适用本市的）及省级以上规范性文件（适用本市的）规定的其他无效情形。</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22. 串通投标的情形</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22.1 有下列情形之一的，视为投标人串通投标，投标无效：</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（1）不同投标人的投标文件由同一单位或者个人编制；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（2）不同投标人委托同一单位或者个人办理投标事宜；</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（3）不同投标人的投标文件载明的项目管理成员或者联系人员为同一人；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（4）不同投标人的投标文件异常一致或者投标报价呈规律性差异；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（5）不同投标人的投标文件相互混装。</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（6）不同投标人存在电子投标文件预算编制软件密码锁号、IP地址、机器码一致的情形。</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23.投标文件详细评审</w:t>
      </w:r>
      <w:r/>
    </w:p>
    <w:p>
      <w:pPr>
        <w:pStyle w:val="766"/>
        <w:ind w:firstLine="480"/>
        <w:spacing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sz w:val="24"/>
          <w:highlight w:val="none"/>
          <w:lang w:eastAsia="zh-CN"/>
        </w:rPr>
        <w:t xml:space="preserve">23.1 评标委员会将按照招标文件第五部分“评标办法和标准”第8项规定，对符合性审查合格的投标文件进行商务、技术和价格评估，综合比较与评价。</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24.评标过程的保密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24.2 </w:t>
      </w:r>
      <w:r>
        <w:rPr>
          <w:rFonts w:hint="eastAsia" w:asciiTheme="minorEastAsia" w:hAnsiTheme="minorEastAsia" w:eastAsiaTheme="minorEastAsia"/>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25．废标的情形</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25.1 出现下列情形之一的，将予废标：</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（1）符合专业条件的供应商或者对招标文件作实质响应的供应商不足三家的；  </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（2）出现影响采购公正的违法、违规行为的；  </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（3）投标人的报价均超过了采购预算，采购人不能支付的；</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（4）因重大变故，采购任务取消的； </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废标后，采购人应当将废标理由通知所有投标人。</w:t>
      </w:r>
      <w:r/>
    </w:p>
    <w:p>
      <w:pPr>
        <w:pStyle w:val="756"/>
        <w:jc w:val="center"/>
        <w:keepLines w:val="0"/>
        <w:keepNext w:val="0"/>
        <w:spacing w:before="200" w:after="20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六、确定结果</w:t>
      </w:r>
      <w:r/>
    </w:p>
    <w:p>
      <w:pPr>
        <w:ind w:firstLine="446"/>
        <w:spacing w:line="360" w:lineRule="auto"/>
        <w:rPr>
          <w:rFonts w:asciiTheme="minorEastAsia" w:hAnsiTheme="minorEastAsia" w:eastAsiaTheme="minorEastAsia"/>
          <w:b/>
          <w:bCs/>
          <w:color w:val="auto"/>
          <w:sz w:val="30"/>
          <w:szCs w:val="32"/>
          <w:highlight w:val="none"/>
        </w:rPr>
      </w:pPr>
      <w:r>
        <w:rPr>
          <w:rFonts w:hint="eastAsia" w:asciiTheme="minorEastAsia" w:hAnsiTheme="minorEastAsia" w:eastAsiaTheme="minorEastAsia"/>
          <w:b/>
          <w:bCs/>
          <w:color w:val="auto"/>
          <w:sz w:val="30"/>
          <w:szCs w:val="32"/>
          <w:highlight w:val="none"/>
        </w:rPr>
        <w:t xml:space="preserve">26.确定中标人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26.1采购代理机构在评标结束后2个工作日内将评标报告送采购人。</w:t>
      </w:r>
      <w:r/>
    </w:p>
    <w:p>
      <w:pPr>
        <w:ind w:firstLine="480"/>
        <w:spacing w:line="360" w:lineRule="auto"/>
        <w:rPr>
          <w:rFonts w:asciiTheme="minorEastAsia" w:hAnsiTheme="minorEastAsia" w:eastAsiaTheme="minorEastAsia"/>
          <w:color w:val="auto"/>
          <w:sz w:val="24"/>
          <w:highlight w:val="none"/>
        </w:rPr>
      </w:pPr>
      <w:r/>
      <w:bookmarkStart w:id="72" w:name="_Hlk132702541"/>
      <w:r/>
      <w:bookmarkStart w:id="73" w:name="_Hlk132702790"/>
      <w:r>
        <w:rPr>
          <w:rFonts w:hint="eastAsia" w:asciiTheme="minorEastAsia" w:hAnsiTheme="minorEastAsia" w:eastAsiaTheme="minorEastAsia"/>
          <w:color w:val="auto"/>
          <w:sz w:val="24"/>
          <w:highlight w:val="none"/>
        </w:rPr>
        <w:t xml:space="preserve">26.</w:t>
      </w:r>
      <w:bookmarkEnd w:id="72"/>
      <w:r>
        <w:rPr>
          <w:rFonts w:hint="eastAsia" w:asciiTheme="minorEastAsia" w:hAnsiTheme="minorEastAsia" w:eastAsiaTheme="minorEastAsia"/>
          <w:color w:val="auto"/>
          <w:sz w:val="24"/>
          <w:highlight w:val="none"/>
        </w:rPr>
        <w:t xml:space="preserve">2</w:t>
      </w:r>
      <w:bookmarkEnd w:id="73"/>
      <w:r>
        <w:rPr>
          <w:rFonts w:hint="eastAsia" w:asciiTheme="minorEastAsia" w:hAnsiTheme="minorEastAsia" w:eastAsiaTheme="minorEastAsia"/>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26.3成交供应商在成交公告发布后，须向采购代理机构提供与线上内容一致的纸质响应文件两份（正本1份、副本1份）。</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756"/>
        <w:ind w:firstLine="643"/>
        <w:jc w:val="center"/>
        <w:keepLines w:val="0"/>
        <w:keepNext w:val="0"/>
        <w:spacing w:before="200" w:after="20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七、授予合同</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27．中标通知书</w:t>
      </w:r>
      <w:r/>
    </w:p>
    <w:p>
      <w:pPr>
        <w:pStyle w:val="756"/>
        <w:ind w:firstLine="470"/>
        <w:keepLines w:val="0"/>
        <w:keepNext w:val="0"/>
        <w:spacing w:before="0" w:after="0" w:line="360" w:lineRule="auto"/>
        <w:rPr>
          <w:rFonts w:asciiTheme="minorEastAsia" w:hAnsiTheme="minorEastAsia" w:eastAsiaTheme="minorEastAsia"/>
          <w:b w:val="0"/>
          <w:color w:val="auto"/>
          <w:sz w:val="24"/>
          <w:highlight w:val="none"/>
          <w:lang w:eastAsia="zh-CN"/>
        </w:rPr>
      </w:pPr>
      <w:r>
        <w:rPr>
          <w:rFonts w:hint="eastAsia" w:asciiTheme="minorEastAsia" w:hAnsiTheme="minorEastAsia" w:eastAsiaTheme="minorEastAsia"/>
          <w:b w:val="0"/>
          <w:color w:val="auto"/>
          <w:sz w:val="24"/>
          <w:highlight w:val="none"/>
          <w:lang w:eastAsia="zh-CN"/>
        </w:rPr>
        <w:t xml:space="preserve">27.1 自中标人确定之日起2个工作日内，采购代理机构向中标人发出中标通知书，同时编制发布采购结果公告。</w:t>
      </w:r>
      <w:r/>
    </w:p>
    <w:p>
      <w:pPr>
        <w:pStyle w:val="756"/>
        <w:ind w:firstLine="355"/>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b w:val="0"/>
          <w:color w:val="auto"/>
          <w:sz w:val="24"/>
          <w:highlight w:val="none"/>
          <w:lang w:eastAsia="zh-CN"/>
        </w:rPr>
        <w:t xml:space="preserve">27.2中标通知书发出后，采购人不得违法改变中标结果，中标人无正当理由不得放弃中标。</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28.履约保证金</w:t>
      </w:r>
      <w:r/>
    </w:p>
    <w:p>
      <w:pPr>
        <w:ind w:firstLine="480"/>
        <w:spacing w:line="360" w:lineRule="auto"/>
        <w:rPr>
          <w:rFonts w:hint="eastAsia" w:ascii="宋体" w:hAnsi="宋体" w:eastAsia="宋体" w:cs="宋体"/>
          <w:color w:val="auto"/>
          <w:sz w:val="24"/>
          <w:highlight w:val="none"/>
        </w:rPr>
      </w:pPr>
      <w:r>
        <w:rPr>
          <w:rFonts w:hint="eastAsia" w:asciiTheme="minorEastAsia" w:hAnsiTheme="minorEastAsia" w:eastAsiaTheme="minorEastAsia"/>
          <w:color w:val="auto"/>
          <w:sz w:val="24"/>
          <w:highlight w:val="none"/>
          <w:lang w:eastAsia="zh-CN"/>
        </w:rPr>
        <w:t xml:space="preserve">28.1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本项目中标供应商应提交合同金额</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履约保证金退还的方式：以</w:t>
      </w:r>
      <w:bookmarkStart w:id="74" w:name="OLE_LINK24"/>
      <w:r>
        <w:rPr>
          <w:rFonts w:hint="eastAsia" w:ascii="宋体" w:hAnsi="宋体" w:eastAsia="宋体" w:cs="宋体"/>
          <w:color w:val="auto"/>
          <w:sz w:val="24"/>
          <w:highlight w:val="none"/>
        </w:rPr>
        <w:t xml:space="preserve">银行电汇、</w:t>
      </w:r>
      <w:bookmarkEnd w:id="74"/>
      <w:r>
        <w:rPr>
          <w:rFonts w:hint="eastAsia" w:ascii="宋体" w:hAnsi="宋体" w:eastAsia="宋体" w:cs="宋体"/>
          <w:color w:val="auto"/>
          <w:sz w:val="24"/>
          <w:highlight w:val="none"/>
        </w:rPr>
        <w:t xml:space="preserve">网上银行、数字人民币形式缴纳履约保证金的，退回至</w:t>
      </w:r>
      <w:bookmarkStart w:id="75" w:name="_Hlk173927124"/>
      <w:r>
        <w:rPr>
          <w:rFonts w:hint="eastAsia" w:ascii="宋体" w:hAnsi="宋体" w:eastAsia="宋体" w:cs="宋体"/>
          <w:color w:val="auto"/>
          <w:sz w:val="24"/>
          <w:highlight w:val="none"/>
        </w:rPr>
        <w:t xml:space="preserve">供应商</w:t>
      </w:r>
      <w:bookmarkEnd w:id="75"/>
      <w:r>
        <w:rPr>
          <w:rFonts w:hint="eastAsia" w:ascii="宋体" w:hAnsi="宋体" w:eastAsia="宋体" w:cs="宋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履约保证金退还的条件：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货物类项目，项目验收合格，出具验收报告及履约保证金收据申请退付；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履约保证金退还时间：采购单位收到供应商退付申请后5个工作日内退还；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768"/>
        <w:ind w:firstLine="720"/>
        <w:spacing w:line="360" w:lineRule="auto"/>
        <w:rPr>
          <w:rFonts w:asciiTheme="minorEastAsia" w:hAnsiTheme="minorEastAsia" w:eastAsiaTheme="minorEastAsia"/>
          <w:color w:val="auto"/>
          <w:sz w:val="24"/>
          <w:highlight w:val="none"/>
        </w:rPr>
      </w:pPr>
      <w:r>
        <w:rPr>
          <w:rFonts w:hint="eastAsia"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29．签订合同</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29.1 采购人应当自中标通知书发出之日起</w:t>
      </w:r>
      <w:r>
        <w:rPr>
          <w:rFonts w:hint="eastAsia" w:asciiTheme="minorEastAsia" w:hAnsiTheme="minorEastAsia" w:eastAsiaTheme="minorEastAsia"/>
          <w:color w:val="auto"/>
          <w:sz w:val="24"/>
          <w:highlight w:val="none"/>
          <w:u w:val="single"/>
        </w:rPr>
        <w:t xml:space="preserve">15日</w:t>
      </w:r>
      <w:r>
        <w:rPr>
          <w:rFonts w:hint="eastAsia" w:asciiTheme="minorEastAsia" w:hAnsiTheme="minorEastAsia" w:eastAsiaTheme="minorEastAsia"/>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29.4采购人应当自采购合同签订之日起2个工作日内，将政府采购合同在政府采购指定媒体予以公告。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643"/>
        <w:jc w:val="center"/>
        <w:spacing w:line="360" w:lineRule="auto"/>
        <w:rPr>
          <w:rFonts w:asciiTheme="minorEastAsia" w:hAnsiTheme="minorEastAsia" w:eastAsiaTheme="minorEastAsia"/>
          <w:b/>
          <w:color w:val="auto"/>
          <w:sz w:val="32"/>
          <w:szCs w:val="32"/>
          <w:highlight w:val="none"/>
          <w:shd w:val="clear" w:color="auto" w:fill="ffffff"/>
        </w:rPr>
      </w:pPr>
      <w:r>
        <w:rPr>
          <w:rFonts w:hint="eastAsia" w:asciiTheme="minorEastAsia" w:hAnsiTheme="minorEastAsia" w:eastAsiaTheme="minorEastAsia"/>
          <w:b/>
          <w:color w:val="auto"/>
          <w:sz w:val="32"/>
          <w:szCs w:val="32"/>
          <w:highlight w:val="none"/>
          <w:shd w:val="clear" w:color="auto" w:fill="ffffff"/>
        </w:rPr>
        <w:t xml:space="preserve">八、询问、质疑、投诉</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30．询问</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31．质疑</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以上规定的供应商应知其权益受到损害之日，是指：</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（1）对可以质疑的采购文件提出质疑的，为收到采购文件之日或者采购文件公告期限届满之日；</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（2）对采购过程提出质疑的，为各采购程序环节结束之日；</w:t>
      </w:r>
      <w:r/>
    </w:p>
    <w:p>
      <w:pPr>
        <w:ind w:firstLine="36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（3）对中标结果提出质疑的，为中标结果公告期限届满之日。</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Theme="minorEastAsia" w:hAnsiTheme="minorEastAsia" w:eastAsiaTheme="minorEastAsia"/>
          <w:color w:val="auto"/>
          <w:sz w:val="24"/>
          <w:highlight w:val="none"/>
        </w:rPr>
        <w:t xml:space="preserve">政府采购监管部门</w:t>
      </w:r>
      <w:bookmarkEnd w:id="76"/>
      <w:r>
        <w:rPr>
          <w:rFonts w:hint="eastAsia" w:asciiTheme="minorEastAsia" w:hAnsiTheme="minorEastAsia" w:eastAsiaTheme="minorEastAsia"/>
          <w:color w:val="auto"/>
          <w:sz w:val="24"/>
          <w:highlight w:val="none"/>
        </w:rPr>
        <w:t xml:space="preserve">将其列入不良行为记录名单，并依法予以处罚。</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Theme="minorEastAsia" w:hAnsiTheme="minorEastAsia" w:eastAsiaTheme="minorEastAsia"/>
          <w:b/>
          <w:color w:val="auto"/>
          <w:sz w:val="24"/>
          <w:highlight w:val="none"/>
        </w:rPr>
        <w:t xml:space="preserve">供应商如对采购需求提出质疑，采购人负责处理和答复涉及采购需求的质疑内容。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31.5采购人、采购代理机构不得拒收质疑供应商在法定质疑期内发出的质疑函，应当在收到质疑函后7个工作日内作出答复，并以书面形式通知质疑供应商和其他有关供应商。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32．投诉</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32.2以联合体形式参加政府采购活动的，其投诉应当由组成联合体的所有供应商共同提出。</w:t>
      </w:r>
      <w:r/>
    </w:p>
    <w:p>
      <w:pPr>
        <w:ind w:firstLine="480"/>
        <w:jc w:val="left"/>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32.3投诉流程及注意事项见“江苏政府采购”网站。</w:t>
      </w:r>
      <w:r/>
    </w:p>
    <w:p>
      <w:pPr>
        <w:jc w:val="center"/>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b/>
          <w:color w:val="auto"/>
          <w:sz w:val="32"/>
          <w:szCs w:val="32"/>
          <w:highlight w:val="none"/>
          <w:shd w:val="clear" w:color="auto" w:fill="ffffff"/>
        </w:rPr>
        <w:t xml:space="preserve">九、诚实信用和解释权</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33．诚实信用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33.3 供应商不得虚假承诺，否则，按照提供虚假材料谋取中标处理。</w:t>
      </w:r>
      <w:r/>
    </w:p>
    <w:p>
      <w:pPr>
        <w:ind w:left="2"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w:t>
      </w:r>
      <w:r>
        <w:rPr>
          <w:rFonts w:asciiTheme="minorEastAsia" w:hAnsiTheme="minorEastAsia" w:eastAsiaTheme="minorEastAsia"/>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Theme="minorEastAsia" w:hAnsiTheme="minorEastAsia" w:eastAsiaTheme="minorEastAsia"/>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34.适用法律及约束力</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34.1 </w:t>
      </w:r>
      <w:r>
        <w:rPr>
          <w:rFonts w:hint="eastAsia" w:asciiTheme="minorEastAsia" w:hAnsiTheme="minorEastAsia" w:eastAsiaTheme="minorEastAsia"/>
          <w:b/>
          <w:color w:val="auto"/>
          <w:sz w:val="24"/>
          <w:highlight w:val="none"/>
        </w:rPr>
        <w:t xml:space="preserve">投标人一旦获取了本招标文件并参加投标，即被认为接受了本招标文件的规定和约束。</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34.2 本次招标及由本次招标产生的合同受中华人民共和国法律制约和保护。</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35.解释权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除相关法律、法规规定外，本招标文件的解释权归</w:t>
      </w:r>
      <w:r>
        <w:rPr>
          <w:rFonts w:hint="eastAsia" w:asciiTheme="minorEastAsia" w:hAnsiTheme="minorEastAsia" w:eastAsiaTheme="minorEastAsia"/>
          <w:color w:val="auto"/>
          <w:sz w:val="24"/>
          <w:highlight w:val="none"/>
          <w:u w:val="single"/>
        </w:rPr>
        <w:t xml:space="preserve">采购代理机构</w:t>
      </w:r>
      <w:r>
        <w:rPr>
          <w:rFonts w:hint="eastAsia" w:asciiTheme="minorEastAsia" w:hAnsiTheme="minorEastAsia" w:eastAsiaTheme="minorEastAsia"/>
          <w:color w:val="auto"/>
          <w:sz w:val="24"/>
          <w:highlight w:val="none"/>
        </w:rPr>
        <w:t xml:space="preserve">所有。</w:t>
      </w:r>
      <w:r/>
    </w:p>
    <w:p>
      <w:pPr>
        <w:jc w:val="left"/>
        <w:spacing w:line="360" w:lineRule="auto"/>
        <w:widowControl/>
        <w:rPr>
          <w:rFonts w:asciiTheme="minorEastAsia" w:hAnsiTheme="minorEastAsia" w:eastAsiaTheme="minorEastAsia"/>
          <w:b/>
          <w:color w:val="auto"/>
          <w:sz w:val="30"/>
          <w:highlight w:val="none"/>
        </w:rPr>
      </w:pPr>
      <w:r>
        <w:rPr>
          <w:rFonts w:asciiTheme="minorEastAsia" w:hAnsiTheme="minorEastAsia" w:eastAsiaTheme="minorEastAsia"/>
          <w:b/>
          <w:color w:val="auto"/>
          <w:sz w:val="30"/>
          <w:highlight w:val="none"/>
        </w:rPr>
      </w:r>
      <w:r/>
    </w:p>
    <w:p>
      <w:pPr>
        <w:jc w:val="left"/>
        <w:spacing w:line="360" w:lineRule="auto"/>
        <w:widowControl/>
        <w:rPr>
          <w:rFonts w:asciiTheme="minorEastAsia" w:hAnsiTheme="minorEastAsia" w:eastAsiaTheme="minorEastAsia"/>
          <w:b/>
          <w:color w:val="auto"/>
          <w:sz w:val="30"/>
          <w:highlight w:val="none"/>
        </w:rPr>
      </w:pPr>
      <w:r>
        <w:rPr>
          <w:rFonts w:asciiTheme="minorEastAsia" w:hAnsiTheme="minorEastAsia" w:eastAsiaTheme="minorEastAsia"/>
          <w:b/>
          <w:color w:val="auto"/>
          <w:sz w:val="30"/>
          <w:highlight w:val="none"/>
        </w:rPr>
      </w:r>
      <w:r/>
    </w:p>
    <w:p>
      <w:pPr>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br w:type="page" w:clear="all"/>
      </w:r>
      <w:r/>
    </w:p>
    <w:p>
      <w:pPr>
        <w:jc w:val="center"/>
        <w:spacing w:line="360" w:lineRule="auto"/>
        <w:widowControl/>
        <w:rPr>
          <w:rFonts w:asciiTheme="minorEastAsia" w:hAnsiTheme="minorEastAsia" w:eastAsiaTheme="minorEastAsia"/>
          <w:b/>
          <w:bCs/>
          <w:color w:val="auto"/>
          <w:sz w:val="30"/>
          <w:szCs w:val="30"/>
          <w:highlight w:val="none"/>
        </w:rPr>
      </w:pPr>
      <w:r>
        <w:rPr>
          <w:rFonts w:hint="eastAsia" w:asciiTheme="minorEastAsia" w:hAnsiTheme="minorEastAsia" w:eastAsiaTheme="minorEastAsia"/>
          <w:b/>
          <w:color w:val="auto"/>
          <w:sz w:val="30"/>
          <w:highlight w:val="none"/>
        </w:rPr>
        <w:t xml:space="preserve">第三部分  拟签订的合同文本（货物类）</w:t>
      </w:r>
      <w:r/>
    </w:p>
    <w:p>
      <w:pPr>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合同编号：</w:t>
      </w:r>
      <w:r/>
    </w:p>
    <w:p>
      <w:pPr>
        <w:jc w:val="center"/>
        <w:spacing w:line="480" w:lineRule="auto"/>
        <w:rPr>
          <w:rFonts w:cs="宋体" w:asciiTheme="minorEastAsia" w:hAnsiTheme="minorEastAsia" w:eastAsiaTheme="minorEastAsia"/>
          <w:b/>
          <w:color w:val="auto"/>
          <w:sz w:val="28"/>
          <w:szCs w:val="28"/>
          <w:highlight w:val="none"/>
        </w:rPr>
      </w:pPr>
      <w:r>
        <w:rPr>
          <w:rFonts w:cs="宋体" w:asciiTheme="minorEastAsia" w:hAnsiTheme="minorEastAsia" w:eastAsiaTheme="minorEastAsia"/>
          <w:b/>
          <w:color w:val="auto"/>
          <w:sz w:val="28"/>
          <w:szCs w:val="28"/>
          <w:highlight w:val="none"/>
        </w:rPr>
      </w:r>
      <w:r/>
    </w:p>
    <w:p>
      <w:pPr>
        <w:jc w:val="center"/>
        <w:spacing w:line="480" w:lineRule="auto"/>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jc w:val="center"/>
        <w:spacing w:line="480" w:lineRule="auto"/>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jc w:val="center"/>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2668"/>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第一</w:t>
      </w:r>
      <w:bookmarkStart w:id="77" w:name="_Hlk136502621"/>
      <w:r>
        <w:rPr>
          <w:rFonts w:hint="eastAsia" w:cs="宋体" w:asciiTheme="minorEastAsia" w:hAnsiTheme="minorEastAsia" w:eastAsiaTheme="minorEastAsia"/>
          <w:b/>
          <w:color w:val="auto"/>
          <w:sz w:val="28"/>
          <w:szCs w:val="28"/>
          <w:highlight w:val="none"/>
        </w:rPr>
        <w:t xml:space="preserve">部分</w:t>
      </w:r>
      <w:bookmarkEnd w:id="77"/>
      <w:r>
        <w:rPr>
          <w:rFonts w:hint="eastAsia" w:cs="宋体" w:asciiTheme="minorEastAsia" w:hAnsiTheme="minorEastAsia" w:eastAsiaTheme="minorEastAsia"/>
          <w:b/>
          <w:color w:val="auto"/>
          <w:sz w:val="28"/>
          <w:szCs w:val="28"/>
          <w:highlight w:val="none"/>
        </w:rPr>
        <w:t xml:space="preserve"> 合同书</w:t>
      </w:r>
      <w:r/>
    </w:p>
    <w:p>
      <w:pPr>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960"/>
        <w:spacing w:before="120" w:line="22"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960"/>
        <w:spacing w:before="120" w:line="22" w:lineRule="atLeas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甲方：</w:t>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960"/>
        <w:spacing w:before="120" w:line="22" w:lineRule="atLeas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乙方：</w:t>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before="120" w:line="22"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960"/>
        <w:jc w:val="center"/>
        <w:spacing w:before="120" w:line="22" w:lineRule="atLeast"/>
        <w:rPr>
          <w:rFonts w:cs="宋体" w:asciiTheme="minorEastAsia" w:hAnsiTheme="minorEastAsia" w:eastAsiaTheme="minorEastAsia"/>
          <w:color w:val="auto"/>
          <w:sz w:val="24"/>
          <w:highlight w:val="none"/>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cs="宋体" w:asciiTheme="minorEastAsia" w:hAnsiTheme="minorEastAsia" w:eastAsiaTheme="minorEastAsia"/>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根据《中华人民共和国民法典》《中华人民共和国政府采购法》等相关法律法规之规定和</w:t>
      </w:r>
      <w:r>
        <w:rPr>
          <w:rFonts w:hint="eastAsia" w:cs="宋体" w:asciiTheme="minorEastAsia" w:hAnsiTheme="minorEastAsia" w:eastAsiaTheme="minorEastAsia"/>
          <w:color w:val="auto"/>
          <w:sz w:val="24"/>
          <w:highlight w:val="none"/>
          <w:u w:val="single"/>
          <w:lang w:val="zh-CN"/>
        </w:rPr>
        <w:t xml:space="preserve">（</w:t>
      </w:r>
      <w:r>
        <w:rPr>
          <w:rFonts w:hint="eastAsia" w:asciiTheme="minorEastAsia" w:hAnsiTheme="minorEastAsia" w:eastAsiaTheme="minorEastAsia"/>
          <w:color w:val="auto"/>
          <w:sz w:val="24"/>
          <w:highlight w:val="none"/>
          <w:u w:val="single"/>
        </w:rPr>
        <w:t xml:space="preserve">项目名称）（项目编号）</w:t>
      </w:r>
      <w:r>
        <w:rPr>
          <w:rFonts w:hint="eastAsia" w:asciiTheme="minorEastAsia" w:hAnsiTheme="minorEastAsia" w:eastAsiaTheme="minorEastAsia"/>
          <w:color w:val="auto"/>
          <w:sz w:val="24"/>
          <w:highlight w:val="none"/>
        </w:rPr>
        <w:t xml:space="preserve">的招标结果，</w:t>
      </w:r>
      <w:r>
        <w:rPr>
          <w:rFonts w:hint="eastAsia" w:cs="宋体" w:asciiTheme="minorEastAsia" w:hAnsiTheme="minorEastAsia" w:eastAsiaTheme="minorEastAsia"/>
          <w:color w:val="auto"/>
          <w:sz w:val="24"/>
          <w:highlight w:val="none"/>
          <w:lang w:val="zh-CN"/>
        </w:rPr>
        <w:t xml:space="preserve">按照平等、自愿、公平、诚实信用和绿色的原则，经甲方和乙方协商一致，约定以下合同</w:t>
      </w:r>
      <w:r>
        <w:rPr>
          <w:rFonts w:hint="eastAsia" w:cs="宋体" w:asciiTheme="minorEastAsia" w:hAnsiTheme="minorEastAsia" w:eastAsiaTheme="minorEastAsia"/>
          <w:color w:val="auto"/>
          <w:sz w:val="24"/>
          <w:highlight w:val="none"/>
        </w:rPr>
        <w:t xml:space="preserve">条款，以兹共同遵守、全面履行。</w:t>
      </w:r>
      <w:r/>
    </w:p>
    <w:p>
      <w:pPr>
        <w:ind w:firstLine="482"/>
        <w:spacing w:line="560" w:lineRule="exact"/>
        <w:rPr>
          <w:rFonts w:cs="宋体" w:asciiTheme="minorEastAsia" w:hAnsiTheme="minorEastAsia" w:eastAsiaTheme="minorEastAsia"/>
          <w:b/>
          <w:color w:val="auto"/>
          <w:sz w:val="24"/>
          <w:highlight w:val="none"/>
        </w:rPr>
        <w:outlineLvl w:val="0"/>
      </w:pPr>
      <w:r/>
      <w:bookmarkStart w:id="78" w:name="_Hlk132882891"/>
      <w:r/>
      <w:bookmarkStart w:id="79" w:name="_Toc3029"/>
      <w:r/>
      <w:bookmarkStart w:id="80" w:name="_Toc24059"/>
      <w:r/>
      <w:bookmarkStart w:id="81" w:name="_Toc2232"/>
      <w:r>
        <w:rPr>
          <w:rFonts w:hint="eastAsia" w:cs="宋体" w:asciiTheme="minorEastAsia" w:hAnsiTheme="minorEastAsia" w:eastAsiaTheme="minorEastAsia"/>
          <w:b/>
          <w:color w:val="auto"/>
          <w:sz w:val="24"/>
          <w:highlight w:val="none"/>
        </w:rPr>
        <w:t xml:space="preserve">一</w:t>
      </w:r>
      <w:bookmarkEnd w:id="78"/>
      <w:r>
        <w:rPr>
          <w:rFonts w:hint="eastAsia" w:cs="宋体" w:asciiTheme="minorEastAsia" w:hAnsiTheme="minorEastAsia" w:eastAsiaTheme="minorEastAsia"/>
          <w:b/>
          <w:color w:val="auto"/>
          <w:sz w:val="24"/>
          <w:highlight w:val="none"/>
        </w:rPr>
        <w:t xml:space="preserve">.1 合同组成部分</w:t>
      </w:r>
      <w:bookmarkEnd w:id="79"/>
      <w:r/>
      <w:bookmarkEnd w:id="80"/>
      <w:r/>
      <w:bookmarkEnd w:id="81"/>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1.1.1 本合同第一部分、第二部分、第三部分及其补充合同、变更协议；</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1.1.2 中标或者成交通知书；</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1.1.3 投标或者响应文件（含澄清或者说明文件）；</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1.1.4 采购文件（含澄清或者修改文件）；</w:t>
      </w:r>
      <w:r/>
    </w:p>
    <w:p>
      <w:pPr>
        <w:ind w:firstLine="482"/>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1.1.5 其他相关采购文件。</w:t>
      </w:r>
      <w:r/>
    </w:p>
    <w:p>
      <w:pPr>
        <w:ind w:firstLine="482"/>
        <w:spacing w:line="560" w:lineRule="exact"/>
        <w:rPr>
          <w:rFonts w:cs="宋体" w:asciiTheme="minorEastAsia" w:hAnsiTheme="minorEastAsia" w:eastAsiaTheme="minorEastAsia"/>
          <w:b/>
          <w:color w:val="auto"/>
          <w:sz w:val="24"/>
          <w:highlight w:val="none"/>
        </w:rPr>
        <w:outlineLvl w:val="0"/>
      </w:pPr>
      <w:r/>
      <w:bookmarkStart w:id="82" w:name="_Toc21295"/>
      <w:r/>
      <w:bookmarkStart w:id="83" w:name="_Toc24300"/>
      <w:r/>
      <w:bookmarkStart w:id="84" w:name="_Toc27126"/>
      <w:r>
        <w:rPr>
          <w:rFonts w:hint="eastAsia" w:cs="宋体" w:asciiTheme="minorEastAsia" w:hAnsiTheme="minorEastAsia" w:eastAsiaTheme="minorEastAsia"/>
          <w:b/>
          <w:color w:val="auto"/>
          <w:sz w:val="24"/>
          <w:highlight w:val="none"/>
        </w:rPr>
        <w:t xml:space="preserve">1.2 货物</w:t>
      </w:r>
      <w:bookmarkEnd w:id="82"/>
      <w:r/>
      <w:bookmarkEnd w:id="83"/>
      <w:r/>
      <w:bookmarkEnd w:id="84"/>
      <w:r>
        <w:rPr>
          <w:rFonts w:hint="eastAsia" w:cs="宋体" w:asciiTheme="minorEastAsia" w:hAnsiTheme="minorEastAsia" w:eastAsiaTheme="minorEastAsia"/>
          <w:b/>
          <w:i/>
          <w:iCs/>
          <w:color w:val="auto"/>
          <w:sz w:val="24"/>
          <w:highlight w:val="none"/>
        </w:rPr>
        <w:t xml:space="preserve">（可附货物清单）</w:t>
      </w:r>
      <w:r/>
    </w:p>
    <w:p>
      <w:pPr>
        <w:ind w:firstLine="482"/>
        <w:spacing w:line="56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1.2.1 货物名称、品牌、规格型号等：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详见投标文件</w:t>
      </w:r>
      <w:r>
        <w:rPr>
          <w:rFonts w:hint="eastAsia" w:ascii="宋体" w:hAnsi="宋体" w:eastAsia="宋体" w:cs="宋体"/>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r/>
    </w:p>
    <w:p>
      <w:pPr>
        <w:ind w:firstLine="482"/>
        <w:spacing w:line="56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1.2.2 货物数量：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详见招标文件、投标文件      </w:t>
      </w:r>
      <w:r>
        <w:rPr>
          <w:rFonts w:hint="eastAsia" w:ascii="宋体" w:hAnsi="宋体" w:eastAsia="宋体" w:cs="宋体"/>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r/>
    </w:p>
    <w:p>
      <w:pPr>
        <w:ind w:firstLine="482"/>
        <w:spacing w:line="56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1.2.3 货物质量：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详见招标文件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u w:val="none"/>
        </w:rPr>
        <w:t xml:space="preserve">；</w:t>
      </w:r>
      <w:r/>
    </w:p>
    <w:p>
      <w:pPr>
        <w:ind w:firstLine="480"/>
        <w:spacing w:line="560" w:lineRule="exact"/>
        <w:rPr>
          <w:rFonts w:cs="宋体" w:asciiTheme="minorEastAsia" w:hAnsiTheme="minorEastAsia" w:eastAsiaTheme="minorEastAsia"/>
          <w:iCs/>
          <w:color w:val="auto"/>
          <w:sz w:val="24"/>
          <w:highlight w:val="none"/>
          <w:u w:val="single"/>
        </w:rPr>
      </w:pPr>
      <w:r>
        <w:rPr>
          <w:rFonts w:hint="eastAsia" w:asciiTheme="minorEastAsia" w:hAnsiTheme="minorEastAsia" w:eastAsiaTheme="minorEastAsia"/>
          <w:iCs/>
          <w:color w:val="auto"/>
          <w:sz w:val="24"/>
          <w:highlight w:val="none"/>
        </w:rPr>
        <w:t xml:space="preserve">1.</w:t>
      </w:r>
      <w:r>
        <w:rPr>
          <w:rFonts w:asciiTheme="minorEastAsia" w:hAnsiTheme="minorEastAsia" w:eastAsiaTheme="minorEastAsia"/>
          <w:iCs/>
          <w:color w:val="auto"/>
          <w:sz w:val="24"/>
          <w:highlight w:val="none"/>
        </w:rPr>
        <w:t xml:space="preserve">2.4</w:t>
      </w:r>
      <w:r>
        <w:rPr>
          <w:rFonts w:hint="eastAsia" w:asciiTheme="minorEastAsia" w:hAnsiTheme="minorEastAsia" w:eastAsiaTheme="minorEastAsia"/>
          <w:iCs/>
          <w:color w:val="auto"/>
          <w:sz w:val="24"/>
          <w:highlight w:val="none"/>
        </w:rPr>
        <w:t xml:space="preserve"> 详细货物清单可在合同专用条款中列出</w:t>
      </w:r>
      <w:r/>
    </w:p>
    <w:p>
      <w:pPr>
        <w:ind w:firstLine="482"/>
        <w:spacing w:line="560" w:lineRule="exact"/>
        <w:rPr>
          <w:rFonts w:cs="宋体" w:asciiTheme="minorEastAsia" w:hAnsiTheme="minorEastAsia" w:eastAsiaTheme="minorEastAsia"/>
          <w:b/>
          <w:color w:val="auto"/>
          <w:sz w:val="24"/>
          <w:highlight w:val="none"/>
        </w:rPr>
        <w:outlineLvl w:val="0"/>
      </w:pPr>
      <w:r/>
      <w:bookmarkStart w:id="85" w:name="_Toc21551"/>
      <w:r/>
      <w:bookmarkStart w:id="86" w:name="_Toc23292"/>
      <w:r/>
      <w:bookmarkStart w:id="87" w:name="_Toc21631"/>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3</w:t>
      </w:r>
      <w:r>
        <w:rPr>
          <w:rFonts w:hint="eastAsia" w:cs="宋体" w:asciiTheme="minorEastAsia" w:hAnsiTheme="minorEastAsia" w:eastAsiaTheme="minorEastAsia"/>
          <w:b/>
          <w:color w:val="auto"/>
          <w:sz w:val="24"/>
          <w:highlight w:val="none"/>
        </w:rPr>
        <w:t xml:space="preserve"> 服务</w:t>
      </w:r>
      <w:r>
        <w:rPr>
          <w:rFonts w:hint="eastAsia" w:cs="宋体" w:asciiTheme="minorEastAsia" w:hAnsiTheme="minorEastAsia" w:eastAsiaTheme="minorEastAsia"/>
          <w:b/>
          <w:i/>
          <w:iCs/>
          <w:color w:val="auto"/>
          <w:sz w:val="24"/>
          <w:highlight w:val="none"/>
        </w:rPr>
        <w:t xml:space="preserve">（可附服务清单）</w:t>
      </w:r>
      <w:r/>
    </w:p>
    <w:p>
      <w:pPr>
        <w:ind w:firstLine="480"/>
        <w:spacing w:line="56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 xml:space="preserve">1.3.1 </w:t>
      </w:r>
      <w:r>
        <w:rPr>
          <w:rFonts w:hint="eastAsia" w:asciiTheme="minorEastAsia" w:hAnsiTheme="minorEastAsia" w:eastAsiaTheme="minorEastAsia"/>
          <w:color w:val="auto"/>
          <w:sz w:val="24"/>
          <w:highlight w:val="none"/>
        </w:rPr>
        <w:t xml:space="preserve">服务内容</w:t>
      </w:r>
      <w:r>
        <w:rPr>
          <w:rFonts w:asciiTheme="minorEastAsia" w:hAnsiTheme="minorEastAsia" w:eastAsiaTheme="minorEastAsia"/>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乙方</w:t>
      </w:r>
      <w:r>
        <w:rPr>
          <w:rFonts w:hint="eastAsia" w:ascii="宋体" w:hAnsi="宋体" w:eastAsia="宋体" w:cs="宋体"/>
          <w:color w:val="auto"/>
          <w:sz w:val="24"/>
          <w:highlight w:val="none"/>
          <w:u w:val="single"/>
        </w:rPr>
        <w:t xml:space="preserve">承担的与供货有关的</w:t>
      </w:r>
      <w:r>
        <w:rPr>
          <w:rFonts w:hint="eastAsia" w:ascii="宋体" w:hAnsi="宋体" w:eastAsia="宋体" w:cs="宋体"/>
          <w:color w:val="auto"/>
          <w:sz w:val="24"/>
          <w:highlight w:val="none"/>
          <w:u w:val="single"/>
          <w:lang w:val="en-US" w:eastAsia="zh-CN"/>
        </w:rPr>
        <w:t xml:space="preserve">全部</w:t>
      </w:r>
      <w:r>
        <w:rPr>
          <w:rFonts w:hint="eastAsia" w:ascii="宋体" w:hAnsi="宋体" w:eastAsia="宋体" w:cs="宋体"/>
          <w:color w:val="auto"/>
          <w:sz w:val="24"/>
          <w:highlight w:val="none"/>
          <w:u w:val="single"/>
        </w:rPr>
        <w:t xml:space="preserve">服务，如</w:t>
      </w:r>
      <w:r>
        <w:rPr>
          <w:rFonts w:hint="eastAsia" w:ascii="宋体" w:hAnsi="宋体" w:eastAsia="宋体" w:cs="宋体"/>
          <w:color w:val="auto"/>
          <w:sz w:val="24"/>
          <w:highlight w:val="none"/>
          <w:u w:val="single"/>
          <w:lang w:val="en-US" w:eastAsia="zh-CN"/>
        </w:rPr>
        <w:t xml:space="preserve">拆卸、</w:t>
      </w:r>
      <w:r>
        <w:rPr>
          <w:rFonts w:hint="eastAsia" w:ascii="宋体" w:hAnsi="宋体" w:eastAsia="宋体" w:cs="宋体"/>
          <w:color w:val="auto"/>
          <w:sz w:val="24"/>
          <w:highlight w:val="none"/>
          <w:u w:val="single"/>
        </w:rPr>
        <w:t xml:space="preserve">安装、调试</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运输、保险</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技术援助、以及其它</w:t>
      </w:r>
      <w:r>
        <w:rPr>
          <w:rFonts w:hint="eastAsia" w:ascii="宋体" w:hAnsi="宋体" w:eastAsia="宋体" w:cs="宋体"/>
          <w:color w:val="auto"/>
          <w:sz w:val="24"/>
          <w:highlight w:val="none"/>
          <w:u w:val="single"/>
          <w:lang w:val="en-US" w:eastAsia="zh-CN"/>
        </w:rPr>
        <w:t xml:space="preserve">实施本项目所需的</w:t>
      </w:r>
      <w:r>
        <w:rPr>
          <w:rFonts w:hint="eastAsia" w:ascii="宋体" w:hAnsi="宋体" w:eastAsia="宋体" w:cs="宋体"/>
          <w:color w:val="auto"/>
          <w:sz w:val="24"/>
          <w:highlight w:val="none"/>
          <w:u w:val="single"/>
        </w:rPr>
        <w:t xml:space="preserve">服务</w:t>
      </w:r>
      <w:r>
        <w:rPr>
          <w:rFonts w:hint="eastAsia" w:ascii="宋体" w:hAnsi="宋体" w:eastAsia="宋体" w:cs="宋体"/>
          <w:color w:val="auto"/>
          <w:sz w:val="24"/>
          <w:highlight w:val="none"/>
          <w:u w:val="single"/>
          <w:lang w:eastAsia="zh-CN"/>
        </w:rPr>
        <w:t xml:space="preserve">。服务亦包括</w:t>
      </w:r>
      <w:r>
        <w:rPr>
          <w:rFonts w:hint="eastAsia" w:ascii="宋体" w:hAnsi="宋体" w:eastAsia="宋体" w:cs="宋体"/>
          <w:color w:val="auto"/>
          <w:sz w:val="24"/>
          <w:highlight w:val="none"/>
          <w:u w:val="single"/>
          <w:lang w:val="en-US" w:eastAsia="zh-CN"/>
        </w:rPr>
        <w:t xml:space="preserve">招标文件</w:t>
      </w:r>
      <w:r>
        <w:rPr>
          <w:rFonts w:hint="eastAsia" w:ascii="宋体" w:hAnsi="宋体" w:eastAsia="宋体" w:cs="宋体"/>
          <w:color w:val="auto"/>
          <w:sz w:val="24"/>
          <w:highlight w:val="none"/>
          <w:u w:val="single"/>
          <w:lang w:eastAsia="zh-CN"/>
        </w:rPr>
        <w:t xml:space="preserve">中特别描述的其它形式的服务</w:t>
      </w:r>
      <w:r>
        <w:rPr>
          <w:rFonts w:hint="eastAsia" w:ascii="宋体" w:hAnsi="宋体" w:eastAsia="宋体" w:cs="宋体"/>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ind w:firstLine="480"/>
        <w:spacing w:line="56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 xml:space="preserve">1.3.2 </w:t>
      </w:r>
      <w:r>
        <w:rPr>
          <w:rFonts w:hint="eastAsia" w:asciiTheme="minorEastAsia" w:hAnsiTheme="minorEastAsia" w:eastAsiaTheme="minorEastAsia"/>
          <w:color w:val="auto"/>
          <w:sz w:val="24"/>
          <w:highlight w:val="none"/>
        </w:rPr>
        <w:t xml:space="preserve">服务标准</w:t>
      </w:r>
      <w:r>
        <w:rPr>
          <w:rFonts w:asciiTheme="minorEastAsia" w:hAnsiTheme="minorEastAsia" w:eastAsiaTheme="minorEastAsia"/>
          <w:color w:val="auto"/>
          <w:sz w:val="24"/>
          <w:highlight w:val="none"/>
        </w:rPr>
        <w:t xml:space="preserve">：</w:t>
      </w:r>
      <w:r>
        <w:rPr>
          <w:rFonts w:hint="eastAsia" w:ascii="宋体" w:hAnsi="宋体" w:eastAsia="宋体" w:cs="宋体"/>
          <w:color w:val="auto"/>
          <w:sz w:val="24"/>
          <w:highlight w:val="none"/>
          <w:u w:val="single"/>
        </w:rPr>
        <w:t xml:space="preserve">     详见</w:t>
      </w:r>
      <w:r>
        <w:rPr>
          <w:rFonts w:hint="eastAsia" w:ascii="宋体" w:hAnsi="宋体" w:eastAsia="宋体" w:cs="宋体"/>
          <w:color w:val="auto"/>
          <w:sz w:val="24"/>
          <w:highlight w:val="none"/>
          <w:u w:val="single"/>
          <w:lang w:val="en-US" w:eastAsia="zh-CN"/>
        </w:rPr>
        <w:t xml:space="preserve">招标文件</w:t>
      </w:r>
      <w:r>
        <w:rPr>
          <w:rFonts w:hint="eastAsia" w:ascii="宋体" w:hAnsi="宋体" w:eastAsia="宋体" w:cs="宋体"/>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ind w:firstLine="480"/>
        <w:spacing w:line="56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 xml:space="preserve">1.3.3 </w:t>
      </w:r>
      <w:r>
        <w:rPr>
          <w:rFonts w:hint="eastAsia" w:asciiTheme="minorEastAsia" w:hAnsiTheme="minorEastAsia" w:eastAsiaTheme="minorEastAsia"/>
          <w:color w:val="auto"/>
          <w:sz w:val="24"/>
          <w:highlight w:val="none"/>
        </w:rPr>
        <w:t xml:space="preserve">技术保障：</w:t>
      </w:r>
      <w:r>
        <w:rPr>
          <w:rFonts w:hint="eastAsia" w:ascii="宋体" w:hAnsi="宋体" w:eastAsia="宋体" w:cs="宋体"/>
          <w:color w:val="auto"/>
          <w:sz w:val="24"/>
          <w:highlight w:val="none"/>
          <w:u w:val="single"/>
        </w:rPr>
        <w:t xml:space="preserve">　　　详见</w:t>
      </w:r>
      <w:r>
        <w:rPr>
          <w:rFonts w:hint="eastAsia" w:ascii="宋体" w:hAnsi="宋体" w:eastAsia="宋体" w:cs="宋体"/>
          <w:color w:val="auto"/>
          <w:sz w:val="24"/>
          <w:highlight w:val="none"/>
          <w:u w:val="single"/>
          <w:lang w:val="en-US" w:eastAsia="zh-CN"/>
        </w:rPr>
        <w:t xml:space="preserve">招标文件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投标文件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Theme="minorEastAsia" w:hAnsiTheme="minorEastAsia" w:eastAsiaTheme="minorEastAsia"/>
          <w:color w:val="auto"/>
          <w:sz w:val="24"/>
          <w:highlight w:val="none"/>
          <w:u w:val="single"/>
        </w:rPr>
        <w:t xml:space="preserve">；</w:t>
      </w:r>
      <w:r/>
    </w:p>
    <w:p>
      <w:pPr>
        <w:ind w:firstLine="480"/>
        <w:jc w:val="left"/>
        <w:spacing w:line="560" w:lineRule="exact"/>
        <w:rPr>
          <w:rFonts w:asciiTheme="minorEastAsia" w:hAnsiTheme="minorEastAsia" w:eastAsiaTheme="minorEastAsia"/>
          <w:i/>
          <w:iCs/>
          <w:color w:val="auto"/>
          <w:sz w:val="24"/>
          <w:highlight w:val="none"/>
          <w:u w:val="single"/>
        </w:rPr>
      </w:pPr>
      <w:r>
        <w:rPr>
          <w:rFonts w:hint="eastAsia" w:asciiTheme="minorEastAsia" w:hAnsiTheme="minorEastAsia" w:eastAsiaTheme="minorEastAsia"/>
          <w:color w:val="auto"/>
          <w:sz w:val="24"/>
          <w:highlight w:val="none"/>
        </w:rPr>
        <w:t xml:space="preserve">1.</w:t>
      </w: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.4 服务人员组成：</w:t>
      </w:r>
      <w:r>
        <w:rPr>
          <w:rFonts w:hint="eastAsia" w:ascii="宋体" w:hAnsi="宋体" w:eastAsia="宋体" w:cs="宋体"/>
          <w:color w:val="auto"/>
          <w:sz w:val="24"/>
          <w:highlight w:val="none"/>
          <w:u w:val="single"/>
        </w:rPr>
        <w:t xml:space="preserve">　　详见</w:t>
      </w:r>
      <w:r>
        <w:rPr>
          <w:rFonts w:hint="eastAsia" w:ascii="宋体" w:hAnsi="宋体" w:eastAsia="宋体" w:cs="宋体"/>
          <w:color w:val="auto"/>
          <w:sz w:val="24"/>
          <w:highlight w:val="none"/>
          <w:u w:val="single"/>
          <w:lang w:val="en-US" w:eastAsia="zh-CN"/>
        </w:rPr>
        <w:t xml:space="preserve">投标文件</w:t>
      </w:r>
      <w:r>
        <w:rPr>
          <w:rFonts w:hint="eastAsia" w:ascii="宋体" w:hAnsi="宋体" w:eastAsia="宋体" w:cs="宋体"/>
          <w:color w:val="auto"/>
          <w:sz w:val="24"/>
          <w:highlight w:val="none"/>
          <w:u w:val="single"/>
        </w:rPr>
        <w:t xml:space="preserve">    　      </w:t>
      </w:r>
      <w:r>
        <w:rPr>
          <w:rFonts w:hint="eastAsia" w:asciiTheme="minorEastAsia" w:hAnsiTheme="minorEastAsia" w:eastAsiaTheme="minorEastAsia"/>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4</w:t>
      </w:r>
      <w:bookmarkEnd w:id="85"/>
      <w:r/>
      <w:bookmarkEnd w:id="86"/>
      <w:r/>
      <w:bookmarkEnd w:id="87"/>
      <w:r>
        <w:rPr>
          <w:rFonts w:hint="eastAsia" w:cs="宋体" w:asciiTheme="minorEastAsia" w:hAnsiTheme="minorEastAsia" w:eastAsiaTheme="minorEastAsia"/>
          <w:b/>
          <w:color w:val="auto"/>
          <w:sz w:val="24"/>
          <w:highlight w:val="none"/>
        </w:rPr>
        <w:t xml:space="preserve">合同金额</w:t>
      </w:r>
      <w:r/>
    </w:p>
    <w:p>
      <w:pPr>
        <w:ind w:firstLine="480"/>
        <w:jc w:val="left"/>
        <w:spacing w:line="560" w:lineRule="exact"/>
        <w:rPr>
          <w:rFonts w:hint="eastAsia" w:ascii="宋体" w:hAnsi="宋体" w:eastAsia="宋体" w:cs="宋体"/>
          <w:color w:val="auto"/>
          <w:sz w:val="24"/>
          <w:highlight w:val="none"/>
        </w:rPr>
      </w:pPr>
      <w:r/>
      <w:bookmarkStart w:id="88" w:name="_Toc30506"/>
      <w:r/>
      <w:bookmarkStart w:id="89" w:name="_Toc3654"/>
      <w:r/>
      <w:bookmarkStart w:id="90" w:name="_Toc26916"/>
      <w:r/>
      <w:bookmarkStart w:id="91" w:name="_Toc14993"/>
      <w:r/>
      <w:bookmarkStart w:id="92" w:name="_Toc30158"/>
      <w:r>
        <w:rPr>
          <w:rFonts w:hint="eastAsia" w:ascii="宋体" w:hAnsi="宋体" w:eastAsia="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highlight w:val="none"/>
          <w:u w:val="single"/>
        </w:rPr>
        <w:t xml:space="preserve">1.4.1</w:t>
      </w:r>
      <w:r>
        <w:rPr>
          <w:rFonts w:hint="eastAsia" w:ascii="宋体" w:hAnsi="宋体" w:eastAsia="宋体" w:cs="宋体"/>
          <w:color w:val="auto"/>
          <w:sz w:val="24"/>
          <w:highlight w:val="none"/>
        </w:rPr>
        <w:t xml:space="preserve">条款规定的计价方式计价。</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1.4.1总价合同。本合同总价（含税）为：￥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jc w:val="left"/>
        <w:spacing w:line="560" w:lineRule="exact"/>
        <w:rPr>
          <w:rFonts w:hint="eastAsia" w:ascii="宋体" w:hAnsi="宋体" w:eastAsia="宋体" w:cs="宋体"/>
          <w:color w:val="auto"/>
          <w:sz w:val="24"/>
          <w:highlight w:val="none"/>
        </w:rPr>
      </w:pPr>
      <w:r/>
      <w:bookmarkStart w:id="93" w:name="_Hlk134193576"/>
      <w:r>
        <w:rPr>
          <w:rFonts w:hint="eastAsia" w:ascii="宋体" w:hAnsi="宋体" w:eastAsia="宋体" w:cs="宋体"/>
          <w:bCs/>
          <w:color w:val="auto"/>
          <w:sz w:val="24"/>
          <w:highlight w:val="none"/>
        </w:rPr>
        <w:t xml:space="preserve">1.4.2</w:t>
      </w:r>
      <w:bookmarkEnd w:id="93"/>
      <w:r>
        <w:rPr>
          <w:rFonts w:hint="eastAsia" w:ascii="宋体" w:hAnsi="宋体" w:eastAsia="宋体" w:cs="宋体"/>
          <w:bCs/>
          <w:color w:val="auto"/>
          <w:sz w:val="24"/>
          <w:highlight w:val="none"/>
        </w:rPr>
        <w:t xml:space="preserve">单价合同，本合同单价（含税）标准为：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。计量方式为：</w:t>
      </w:r>
      <w:r>
        <w:rPr>
          <w:rFonts w:hint="eastAsia" w:ascii="宋体" w:hAnsi="宋体" w:eastAsia="宋体" w:cs="宋体"/>
          <w:bCs/>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bCs/>
          <w:iCs/>
          <w:color w:val="auto"/>
          <w:sz w:val="24"/>
          <w:highlight w:val="none"/>
          <w:u w:val="single"/>
        </w:rPr>
        <w:t xml:space="preserve"> 1.4.2</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asciiTheme="minorEastAsia" w:hAnsiTheme="minorEastAsia" w:eastAsiaTheme="minorEastAsia"/>
          <w:color w:val="auto"/>
          <w:sz w:val="24"/>
          <w:highlight w:val="none"/>
        </w:rPr>
      </w:pPr>
      <w:r>
        <w:rPr>
          <w:rFonts w:hint="eastAsia" w:ascii="宋体" w:hAnsi="宋体" w:eastAsia="宋体" w:cs="宋体"/>
          <w:color w:val="auto"/>
          <w:sz w:val="24"/>
          <w:highlight w:val="none"/>
        </w:rPr>
        <w:t xml:space="preserve"> 1.4.3其他计价方式：</w:t>
      </w:r>
      <w:r>
        <w:rPr>
          <w:rFonts w:hint="eastAsia" w:ascii="宋体" w:hAnsi="宋体" w:eastAsia="宋体" w:cs="宋体"/>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bookmarkEnd w:id="88"/>
      <w:r/>
      <w:bookmarkEnd w:id="89"/>
      <w:r/>
      <w:bookmarkEnd w:id="90"/>
      <w:r/>
      <w:bookmarkEnd w:id="91"/>
      <w:r/>
      <w:bookmarkEnd w:id="92"/>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0"/>
        <w:jc w:val="left"/>
        <w:spacing w:line="480" w:lineRule="auto"/>
        <w:widowControl/>
        <w:rPr>
          <w:rFonts w:cs="宋体" w:asciiTheme="minorEastAsia" w:hAnsiTheme="minorEastAsia" w:eastAsiaTheme="minorEastAsia"/>
          <w:b/>
          <w:color w:val="auto"/>
          <w:sz w:val="24"/>
          <w:highlight w:val="none"/>
        </w:rPr>
      </w:pPr>
      <w:r/>
      <w:bookmarkStart w:id="94" w:name="_Toc1814"/>
      <w:r/>
      <w:bookmarkStart w:id="95" w:name="_Toc22618"/>
      <w:r/>
      <w:bookmarkStart w:id="96" w:name="_Toc10340"/>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5</w:t>
      </w:r>
      <w:r>
        <w:rPr>
          <w:rFonts w:hint="eastAsia" w:cs="宋体" w:asciiTheme="minorEastAsia" w:hAnsiTheme="minorEastAsia" w:eastAsiaTheme="minorEastAsia"/>
          <w:b/>
          <w:color w:val="auto"/>
          <w:sz w:val="24"/>
          <w:highlight w:val="none"/>
        </w:rPr>
        <w:t xml:space="preserve">履约保证金</w:t>
      </w:r>
      <w:r/>
    </w:p>
    <w:p>
      <w:pPr>
        <w:pStyle w:val="2335"/>
        <w:ind w:firstLine="480"/>
        <w:spacing w:before="0" w:beforeAutospacing="0" w:after="0" w:afterAutospacing="0" w:line="48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乙方 </w:t>
      </w:r>
      <w:r>
        <w:rPr>
          <w:rFonts w:hint="eastAsia" w:asciiTheme="minorEastAsia" w:hAnsiTheme="minorEastAsia" w:eastAsiaTheme="minorEastAsia"/>
          <w:color w:val="auto"/>
          <w:highlight w:val="none"/>
          <w:u w:val="single"/>
        </w:rPr>
        <w:t xml:space="preserve">不需要</w:t>
      </w:r>
      <w:r>
        <w:rPr>
          <w:rFonts w:hint="eastAsia" w:asciiTheme="minorEastAsia" w:hAnsiTheme="minorEastAsia" w:eastAsiaTheme="minorEastAsia"/>
          <w:color w:val="auto"/>
          <w:highlight w:val="none"/>
        </w:rPr>
        <w:t xml:space="preserve">（需要</w:t>
      </w:r>
      <w:r>
        <w:rPr>
          <w:rFonts w:hint="eastAsia" w:cs="仿宋"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不需要）支付履约保证金。。若需要支付履约保证金的，则：</w:t>
      </w:r>
      <w:r/>
    </w:p>
    <w:p>
      <w:pPr>
        <w:ind w:firstLine="480"/>
        <w:spacing w:line="480" w:lineRule="auto"/>
        <w:rPr>
          <w:rFonts w:cs="宋体" w:asciiTheme="minorEastAsia" w:hAnsiTheme="minorEastAsia" w:eastAsiaTheme="minorEastAsia"/>
          <w:color w:val="auto"/>
          <w:sz w:val="24"/>
          <w:highlight w:val="none"/>
        </w:rPr>
        <w:outlineLvl w:val="0"/>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.1履约保证金的比例为合同金额的%；（</w:t>
      </w:r>
      <w:r>
        <w:rPr>
          <w:rFonts w:hint="eastAsia" w:cs="宋体" w:asciiTheme="minorEastAsia" w:hAnsiTheme="minorEastAsia" w:eastAsiaTheme="minorEastAsia"/>
          <w:i/>
          <w:iCs/>
          <w:color w:val="auto"/>
          <w:sz w:val="24"/>
          <w:highlight w:val="none"/>
        </w:rPr>
        <w:t xml:space="preserve">提醒：履约保证金的比例不得超过合同金额的1</w:t>
      </w:r>
      <w:r>
        <w:rPr>
          <w:rFonts w:cs="宋体" w:asciiTheme="minorEastAsia" w:hAnsiTheme="minorEastAsia" w:eastAsiaTheme="minorEastAsia"/>
          <w:i/>
          <w:iCs/>
          <w:color w:val="auto"/>
          <w:sz w:val="24"/>
          <w:highlight w:val="none"/>
        </w:rPr>
        <w:t xml:space="preserve">0</w:t>
      </w:r>
      <w:r>
        <w:rPr>
          <w:rFonts w:hint="eastAsia" w:cs="宋体" w:asciiTheme="minorEastAsia" w:hAnsiTheme="minorEastAsia" w:eastAsiaTheme="minorEastAsia"/>
          <w:i/>
          <w:iCs/>
          <w:color w:val="auto"/>
          <w:sz w:val="24"/>
          <w:highlight w:val="none"/>
        </w:rPr>
        <w:t xml:space="preserve">%</w:t>
      </w:r>
      <w:r>
        <w:rPr>
          <w:rFonts w:hint="eastAsia" w:cs="宋体" w:asciiTheme="minorEastAsia" w:hAnsiTheme="minorEastAsia" w:eastAsiaTheme="minorEastAsia"/>
          <w:color w:val="auto"/>
          <w:sz w:val="24"/>
          <w:highlight w:val="none"/>
        </w:rPr>
        <w:t xml:space="preserve">）</w:t>
      </w:r>
      <w:r/>
    </w:p>
    <w:p>
      <w:pPr>
        <w:ind w:firstLine="480"/>
        <w:spacing w:line="480" w:lineRule="auto"/>
        <w:rPr>
          <w:rFonts w:cs="宋体" w:asciiTheme="minorEastAsia" w:hAnsiTheme="minorEastAsia" w:eastAsiaTheme="minorEastAsia"/>
          <w:color w:val="auto"/>
          <w:sz w:val="24"/>
          <w:highlight w:val="none"/>
        </w:rPr>
        <w:outlineLvl w:val="0"/>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.2履约保证金支付方式详见</w:t>
      </w:r>
      <w:r>
        <w:rPr>
          <w:rFonts w:hint="eastAsia" w:cs="宋体" w:asciiTheme="minorEastAsia" w:hAnsiTheme="minorEastAsia" w:eastAsiaTheme="minorEastAsia"/>
          <w:b/>
          <w:iCs/>
          <w:color w:val="auto"/>
          <w:sz w:val="24"/>
          <w:highlight w:val="none"/>
          <w:u w:val="single"/>
        </w:rPr>
        <w:t xml:space="preserve">合同专用条款</w:t>
      </w:r>
      <w:r>
        <w:rPr>
          <w:rFonts w:cs="宋体" w:asciiTheme="minorEastAsia" w:hAnsiTheme="minorEastAsia" w:eastAsiaTheme="minorEastAsia"/>
          <w:iCs/>
          <w:color w:val="auto"/>
          <w:sz w:val="24"/>
          <w:highlight w:val="none"/>
          <w:u w:val="single"/>
        </w:rPr>
        <w:t xml:space="preserve">1.5.2</w:t>
      </w:r>
      <w:r>
        <w:rPr>
          <w:rFonts w:hint="eastAsia" w:cs="宋体" w:asciiTheme="minorEastAsia" w:hAnsiTheme="minorEastAsia" w:eastAsiaTheme="minorEastAsia"/>
          <w:color w:val="auto"/>
          <w:sz w:val="24"/>
          <w:highlight w:val="none"/>
        </w:rPr>
        <w:t xml:space="preserve">；</w:t>
      </w:r>
      <w:r/>
    </w:p>
    <w:p>
      <w:pPr>
        <w:pStyle w:val="755"/>
        <w:ind w:firstLine="480"/>
        <w:jc w:val="left"/>
        <w:spacing w:line="480" w:lineRule="auto"/>
        <w:tabs>
          <w:tab w:val="left" w:pos="0" w:leader="none"/>
        </w:tabs>
        <w:rPr>
          <w:rFonts w:asciiTheme="minorEastAsia" w:hAnsiTheme="minorEastAsia" w:eastAsiaTheme="minorEastAsia"/>
          <w:color w:val="auto"/>
          <w:highlight w:val="none"/>
        </w:rPr>
      </w:pPr>
      <w:r>
        <w:rPr>
          <w:rFonts w:hint="eastAsia" w:cs="宋体" w:asciiTheme="minorEastAsia" w:hAnsiTheme="minorEastAsia" w:eastAsiaTheme="minorEastAsia"/>
          <w:b w:val="0"/>
          <w:color w:val="auto"/>
          <w:sz w:val="24"/>
          <w:szCs w:val="24"/>
          <w:highlight w:val="none"/>
        </w:rPr>
        <w:t xml:space="preserve">1.</w:t>
      </w:r>
      <w:r>
        <w:rPr>
          <w:rFonts w:cs="宋体" w:asciiTheme="minorEastAsia" w:hAnsiTheme="minorEastAsia" w:eastAsiaTheme="minorEastAsia"/>
          <w:b w:val="0"/>
          <w:color w:val="auto"/>
          <w:sz w:val="24"/>
          <w:szCs w:val="24"/>
          <w:highlight w:val="none"/>
        </w:rPr>
        <w:t xml:space="preserve">5</w:t>
      </w:r>
      <w:r>
        <w:rPr>
          <w:rFonts w:hint="eastAsia" w:cs="宋体" w:asciiTheme="minorEastAsia" w:hAnsiTheme="minorEastAsia" w:eastAsiaTheme="minorEastAsia"/>
          <w:b w:val="0"/>
          <w:color w:val="auto"/>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rFonts w:asciiTheme="minorEastAsia" w:hAnsiTheme="minorEastAsia" w:eastAsiaTheme="minorEastAsia"/>
          <w:color w:val="auto"/>
          <w:highlight w:val="none"/>
        </w:rPr>
        <w:outlineLvl w:val="0"/>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.4 甲方在项目验收结束后及时退还履约保证金。甲方在项目通过验收之日起</w:t>
      </w:r>
      <w:r>
        <w:rPr>
          <w:rFonts w:cs="宋体" w:asciiTheme="minorEastAsia" w:hAnsiTheme="minorEastAsia" w:eastAsiaTheme="minorEastAsia"/>
          <w:color w:val="auto"/>
          <w:sz w:val="24"/>
          <w:highlight w:val="none"/>
          <w:u w:val="single"/>
        </w:rPr>
        <w:t xml:space="preserve">5</w:t>
      </w:r>
      <w:r>
        <w:rPr>
          <w:rFonts w:hint="eastAsia" w:cs="宋体" w:asciiTheme="minorEastAsia" w:hAnsiTheme="minorEastAsia" w:eastAsiaTheme="minorEastAsia"/>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i/>
          <w:iCs/>
          <w:color w:val="auto"/>
          <w:sz w:val="24"/>
          <w:highlight w:val="none"/>
          <w:u w:val="single"/>
        </w:rPr>
        <w:t xml:space="preserve">按同期银行活期存款利息</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%计算，最高限额为本合同履约保证金的</w:t>
      </w:r>
      <w:r>
        <w:rPr>
          <w:rFonts w:cs="宋体" w:asciiTheme="minorEastAsia" w:hAnsiTheme="minorEastAsia" w:eastAsiaTheme="minorEastAsia"/>
          <w:color w:val="auto"/>
          <w:sz w:val="24"/>
          <w:highlight w:val="none"/>
          <w:u w:val="single"/>
        </w:rPr>
        <w:t xml:space="preserve">XX</w:t>
      </w:r>
      <w:r>
        <w:rPr>
          <w:rFonts w:hint="eastAsia" w:cs="宋体" w:asciiTheme="minorEastAsia" w:hAnsiTheme="minorEastAsia" w:eastAsiaTheme="minorEastAsia"/>
          <w:color w:val="auto"/>
          <w:sz w:val="24"/>
          <w:highlight w:val="none"/>
        </w:rPr>
        <w:t xml:space="preserve"> %。</w:t>
      </w:r>
      <w:r/>
    </w:p>
    <w:p>
      <w:pPr>
        <w:ind w:firstLine="482"/>
        <w:spacing w:line="480" w:lineRule="auto"/>
        <w:rPr>
          <w:rFonts w:cs="宋体" w:asciiTheme="minorEastAsia" w:hAnsiTheme="minorEastAsia" w:eastAsiaTheme="minorEastAsia"/>
          <w:b/>
          <w:color w:val="auto"/>
          <w:sz w:val="24"/>
          <w:highlight w:val="none"/>
        </w:rPr>
        <w:outlineLvl w:val="0"/>
      </w:pPr>
      <w:r>
        <w:rPr>
          <w:rFonts w:hint="eastAsia" w:cs="宋体" w:asciiTheme="minorEastAsia" w:hAnsiTheme="minorEastAsia" w:eastAsiaTheme="minorEastAsia"/>
          <w:b/>
          <w:color w:val="auto"/>
          <w:sz w:val="24"/>
          <w:highlight w:val="none"/>
        </w:rPr>
        <w:t xml:space="preserve">1.</w:t>
      </w:r>
      <w:bookmarkEnd w:id="94"/>
      <w:r/>
      <w:bookmarkEnd w:id="95"/>
      <w:r/>
      <w:bookmarkEnd w:id="96"/>
      <w:r>
        <w:rPr>
          <w:rFonts w:cs="宋体" w:asciiTheme="minorEastAsia" w:hAnsiTheme="minorEastAsia" w:eastAsiaTheme="minorEastAsia"/>
          <w:b/>
          <w:color w:val="auto"/>
          <w:sz w:val="24"/>
          <w:highlight w:val="none"/>
        </w:rPr>
        <w:t xml:space="preserve">6</w:t>
      </w:r>
      <w:r>
        <w:rPr>
          <w:rFonts w:hint="eastAsia" w:cs="宋体" w:asciiTheme="minorEastAsia" w:hAnsiTheme="minorEastAsia" w:eastAsiaTheme="minorEastAsia"/>
          <w:b/>
          <w:color w:val="auto"/>
          <w:sz w:val="24"/>
          <w:highlight w:val="none"/>
        </w:rPr>
        <w:t xml:space="preserve">预付款</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□经双方协商乙方自愿放弃预付款。</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□若需要支付预付款的，则：</w:t>
      </w:r>
      <w:r/>
    </w:p>
    <w:p>
      <w:pPr>
        <w:ind w:firstLine="480"/>
        <w:spacing w:line="360" w:lineRule="auto"/>
        <w:rPr>
          <w:rFonts w:cs="宋体" w:asciiTheme="minorEastAsia" w:hAnsiTheme="minorEastAsia" w:eastAsiaTheme="minorEastAsia"/>
          <w:color w:val="auto"/>
          <w:sz w:val="24"/>
          <w:highlight w:val="none"/>
        </w:rPr>
      </w:pPr>
      <w:r>
        <w:rPr>
          <w:rFonts w:hint="eastAsia" w:ascii="宋体" w:hAnsi="宋体" w:eastAsia="宋体" w:cs="宋体"/>
          <w:color w:val="auto"/>
          <w:sz w:val="24"/>
          <w:szCs w:val="24"/>
          <w:highlight w:val="none"/>
        </w:rPr>
        <w:t xml:space="preserve">1.6.1预付款比例、支付方式、时间详见</w:t>
      </w:r>
      <w:r>
        <w:rPr>
          <w:rFonts w:hint="eastAsia" w:ascii="宋体" w:hAnsi="宋体" w:eastAsia="宋体" w:cs="宋体"/>
          <w:color w:val="auto"/>
          <w:sz w:val="24"/>
          <w:szCs w:val="24"/>
          <w:highlight w:val="none"/>
          <w:u w:val="single"/>
        </w:rPr>
        <w:t xml:space="preserve">    </w:t>
      </w:r>
      <w:r>
        <w:rPr>
          <w:rFonts w:hint="eastAsia" w:ascii="宋体" w:hAnsi="宋体" w:eastAsia="宋体" w:cs="宋体"/>
          <w:b/>
          <w:iCs/>
          <w:color w:val="auto"/>
          <w:sz w:val="24"/>
          <w:szCs w:val="24"/>
          <w:highlight w:val="none"/>
          <w:u w:val="single"/>
        </w:rPr>
        <w:t xml:space="preserve">合同专用</w:t>
      </w:r>
      <w:r>
        <w:rPr>
          <w:rFonts w:hint="eastAsia" w:ascii="宋体" w:hAnsi="宋体" w:eastAsia="宋体" w:cs="宋体"/>
          <w:b/>
          <w:iCs/>
          <w:color w:val="auto"/>
          <w:sz w:val="24"/>
          <w:szCs w:val="24"/>
          <w:highlight w:val="none"/>
          <w:u w:val="single"/>
          <w:lang w:val="en-US" w:eastAsia="zh-CN"/>
        </w:rPr>
        <w:t xml:space="preserve">条款</w:t>
      </w:r>
      <w:r>
        <w:rPr>
          <w:rFonts w:hint="eastAsia" w:ascii="宋体" w:hAnsi="宋体" w:eastAsia="宋体" w:cs="宋体"/>
          <w:iCs/>
          <w:color w:val="auto"/>
          <w:sz w:val="24"/>
          <w:szCs w:val="24"/>
          <w:highlight w:val="none"/>
          <w:u w:val="single"/>
        </w:rPr>
        <w:t xml:space="preserve">1.6.1  </w:t>
      </w:r>
      <w:r>
        <w:rPr>
          <w:rFonts w:hint="eastAsia" w:ascii="宋体" w:hAnsi="宋体" w:eastAsia="宋体" w:cs="宋体"/>
          <w:color w:val="auto"/>
          <w:sz w:val="24"/>
          <w:szCs w:val="24"/>
          <w:highlight w:val="none"/>
          <w:u w:val="single"/>
        </w:rPr>
        <w:t xml:space="preserve">      </w:t>
      </w:r>
      <w:r>
        <w:rPr>
          <w:rFonts w:hint="eastAsia" w:cs="宋体" w:asciiTheme="minorEastAsia" w:hAnsiTheme="minorEastAsia" w:eastAsiaTheme="minorEastAsia"/>
          <w:color w:val="auto"/>
          <w:sz w:val="24"/>
          <w:highlight w:val="none"/>
        </w:rPr>
        <w:t xml:space="preserve">；</w:t>
      </w:r>
      <w:r/>
    </w:p>
    <w:p>
      <w:pPr>
        <w:ind w:firstLine="480"/>
        <w:jc w:val="left"/>
        <w:spacing w:line="48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1.</w:t>
      </w:r>
      <w:r>
        <w:rPr>
          <w:rFonts w:cs="宋体" w:asciiTheme="minorEastAsia" w:hAnsiTheme="minorEastAsia" w:eastAsiaTheme="minorEastAsia"/>
          <w:b/>
          <w:bCs/>
          <w:color w:val="auto"/>
          <w:sz w:val="24"/>
          <w:highlight w:val="none"/>
        </w:rPr>
        <w:t xml:space="preserve">7</w:t>
      </w:r>
      <w:r>
        <w:rPr>
          <w:rFonts w:hint="eastAsia" w:cs="宋体" w:asciiTheme="minorEastAsia" w:hAnsiTheme="minorEastAsia" w:eastAsiaTheme="minorEastAsia"/>
          <w:b/>
          <w:bCs/>
          <w:color w:val="auto"/>
          <w:sz w:val="24"/>
          <w:highlight w:val="none"/>
        </w:rPr>
        <w:t xml:space="preserve">资金支付</w:t>
      </w:r>
      <w:r/>
    </w:p>
    <w:p>
      <w:pPr>
        <w:ind w:firstLine="480"/>
        <w:jc w:val="left"/>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7</w:t>
      </w:r>
      <w:r>
        <w:rPr>
          <w:rFonts w:hint="eastAsia" w:cs="宋体" w:asciiTheme="minorEastAsia" w:hAnsiTheme="minorEastAsia" w:eastAsiaTheme="minorEastAsia"/>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cs="宋体" w:asciiTheme="minorEastAsia" w:hAnsiTheme="minorEastAsia" w:eastAsiaTheme="minorEastAsia"/>
          <w:color w:val="auto"/>
          <w:sz w:val="24"/>
          <w:highlight w:val="none"/>
        </w:rPr>
        <w:outlineLvl w:val="0"/>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7</w:t>
      </w:r>
      <w:r>
        <w:rPr>
          <w:rFonts w:hint="eastAsia" w:cs="宋体" w:asciiTheme="minorEastAsia" w:hAnsiTheme="minorEastAsia" w:eastAsiaTheme="minorEastAsia"/>
          <w:color w:val="auto"/>
          <w:sz w:val="24"/>
          <w:highlight w:val="none"/>
        </w:rPr>
        <w:t xml:space="preserve">.2资金支付的方式、时间和条件详见</w:t>
      </w:r>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.7.2</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97" w:name="_Toc32071"/>
      <w:r/>
      <w:bookmarkStart w:id="98" w:name="_Toc2846"/>
      <w:r/>
      <w:bookmarkStart w:id="99" w:name="_Toc19304"/>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8</w:t>
      </w:r>
      <w:r>
        <w:rPr>
          <w:rFonts w:hint="eastAsia" w:cs="宋体" w:asciiTheme="minorEastAsia" w:hAnsiTheme="minorEastAsia" w:eastAsiaTheme="minorEastAsia"/>
          <w:b/>
          <w:color w:val="auto"/>
          <w:sz w:val="24"/>
          <w:highlight w:val="none"/>
        </w:rPr>
        <w:t xml:space="preserve">货物（服务）交付期限、地点和方式</w:t>
      </w:r>
      <w:bookmarkEnd w:id="97"/>
      <w:r/>
      <w:bookmarkEnd w:id="98"/>
      <w:r/>
      <w:bookmarkEnd w:id="99"/>
      <w:r/>
      <w:r/>
    </w:p>
    <w:p>
      <w:pPr>
        <w:ind w:firstLine="480"/>
        <w:spacing w:line="56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8</w:t>
      </w:r>
      <w:r>
        <w:rPr>
          <w:rFonts w:hint="eastAsia" w:cs="宋体" w:asciiTheme="minorEastAsia" w:hAnsiTheme="minorEastAsia" w:eastAsiaTheme="minorEastAsia"/>
          <w:color w:val="auto"/>
          <w:sz w:val="24"/>
          <w:highlight w:val="none"/>
        </w:rPr>
        <w:t xml:space="preserve">.1 交付期限：</w:t>
      </w:r>
      <w:bookmarkStart w:id="100" w:name="_Hlk134193824"/>
      <w:r>
        <w:rPr>
          <w:rFonts w:hint="eastAsia" w:cs="宋体" w:asciiTheme="minorEastAsia" w:hAnsiTheme="minorEastAsia" w:eastAsiaTheme="minorEastAsia"/>
          <w:color w:val="auto"/>
          <w:sz w:val="24"/>
          <w:highlight w:val="none"/>
        </w:rPr>
        <w:t xml:space="preserve">详见</w:t>
      </w:r>
      <w:bookmarkEnd w:id="100"/>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.8.1</w:t>
      </w:r>
      <w:r>
        <w:rPr>
          <w:rFonts w:hint="eastAsia" w:cs="宋体" w:asciiTheme="minorEastAsia" w:hAnsiTheme="minorEastAsia" w:eastAsiaTheme="minorEastAsia"/>
          <w:iCs/>
          <w:color w:val="auto"/>
          <w:sz w:val="24"/>
          <w:highlight w:val="none"/>
        </w:rPr>
        <w:t xml:space="preserve">；</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8</w:t>
      </w:r>
      <w:r>
        <w:rPr>
          <w:rFonts w:hint="eastAsia" w:cs="宋体" w:asciiTheme="minorEastAsia" w:hAnsiTheme="minorEastAsia" w:eastAsiaTheme="minorEastAsia"/>
          <w:color w:val="auto"/>
          <w:sz w:val="24"/>
          <w:highlight w:val="none"/>
        </w:rPr>
        <w:t xml:space="preserve">.2 交付地点：详见</w:t>
      </w:r>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.8.2</w:t>
      </w:r>
      <w:r>
        <w:rPr>
          <w:rFonts w:hint="eastAsia" w:cs="宋体" w:asciiTheme="minorEastAsia" w:hAnsiTheme="minorEastAsia" w:eastAsiaTheme="minorEastAsia"/>
          <w:iCs/>
          <w:color w:val="auto"/>
          <w:sz w:val="24"/>
          <w:highlight w:val="none"/>
        </w:rPr>
        <w:t xml:space="preserve">；</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8</w:t>
      </w:r>
      <w:r>
        <w:rPr>
          <w:rFonts w:hint="eastAsia" w:cs="宋体" w:asciiTheme="minorEastAsia" w:hAnsiTheme="minorEastAsia" w:eastAsiaTheme="minorEastAsia"/>
          <w:color w:val="auto"/>
          <w:sz w:val="24"/>
          <w:highlight w:val="none"/>
        </w:rPr>
        <w:t xml:space="preserve">.3 交付方式：详见</w:t>
      </w:r>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.8.3</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101" w:name="_Toc21423"/>
      <w:r/>
      <w:bookmarkStart w:id="102" w:name="_Toc27250"/>
      <w:r/>
      <w:bookmarkStart w:id="103" w:name="_Toc19554"/>
      <w:r>
        <w:rPr>
          <w:rFonts w:hint="eastAsia" w:cs="宋体" w:asciiTheme="minorEastAsia" w:hAnsiTheme="minorEastAsia" w:eastAsiaTheme="minorEastAsia"/>
          <w:b/>
          <w:color w:val="auto"/>
          <w:sz w:val="24"/>
          <w:highlight w:val="none"/>
        </w:rPr>
        <w:t xml:space="preserve">1.</w:t>
      </w:r>
      <w:r>
        <w:rPr>
          <w:rFonts w:cs="宋体" w:asciiTheme="minorEastAsia" w:hAnsiTheme="minorEastAsia" w:eastAsiaTheme="minorEastAsia"/>
          <w:b/>
          <w:color w:val="auto"/>
          <w:sz w:val="24"/>
          <w:highlight w:val="none"/>
        </w:rPr>
        <w:t xml:space="preserve">9</w:t>
      </w:r>
      <w:r>
        <w:rPr>
          <w:rFonts w:hint="eastAsia" w:cs="宋体" w:asciiTheme="minorEastAsia" w:hAnsiTheme="minorEastAsia" w:eastAsiaTheme="minorEastAsia"/>
          <w:b/>
          <w:color w:val="auto"/>
          <w:sz w:val="24"/>
          <w:highlight w:val="none"/>
        </w:rPr>
        <w:t xml:space="preserve">违约责任</w:t>
      </w:r>
      <w:bookmarkEnd w:id="101"/>
      <w:r/>
      <w:bookmarkEnd w:id="102"/>
      <w:r/>
      <w:bookmarkEnd w:id="103"/>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.1 除不可抗力外，如果乙方没有按照本合同约定的期限、地点和方式交付货物或服务，那么甲方可要求乙方支付违约金，每延迟一日，违约金按合同金额的%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1.</w:t>
      </w:r>
      <w:r>
        <w:rPr>
          <w:rFonts w:cs="宋体" w:asciiTheme="minorEastAsia" w:hAnsiTheme="minorEastAsia" w:eastAsiaTheme="minorEastAsia"/>
          <w:color w:val="auto"/>
          <w:sz w:val="24"/>
          <w:highlight w:val="none"/>
        </w:rPr>
        <w:t xml:space="preserve">9</w:t>
      </w:r>
      <w:r>
        <w:rPr>
          <w:rFonts w:hint="eastAsia" w:cs="宋体" w:asciiTheme="minorEastAsia" w:hAnsiTheme="minorEastAsia" w:eastAsiaTheme="minorEastAsia"/>
          <w:color w:val="auto"/>
          <w:sz w:val="24"/>
          <w:highlight w:val="none"/>
        </w:rPr>
        <w:t xml:space="preserve">.6违约责任</w:t>
      </w:r>
      <w:r>
        <w:rPr>
          <w:rFonts w:hint="eastAsia" w:cs="宋体" w:asciiTheme="minorEastAsia" w:hAnsiTheme="minorEastAsia" w:eastAsiaTheme="minorEastAsia"/>
          <w:b/>
          <w:iCs/>
          <w:color w:val="auto"/>
          <w:sz w:val="24"/>
          <w:highlight w:val="none"/>
          <w:u w:val="single"/>
        </w:rPr>
        <w:t xml:space="preserve">合同专用条款1</w:t>
      </w:r>
      <w:r>
        <w:rPr>
          <w:rFonts w:cs="宋体" w:asciiTheme="minorEastAsia" w:hAnsiTheme="minorEastAsia" w:eastAsiaTheme="minorEastAsia"/>
          <w:b/>
          <w:iCs/>
          <w:color w:val="auto"/>
          <w:sz w:val="24"/>
          <w:highlight w:val="none"/>
          <w:u w:val="single"/>
        </w:rPr>
        <w:t xml:space="preserve">.9.6</w:t>
      </w:r>
      <w:r>
        <w:rPr>
          <w:rFonts w:hint="eastAsia" w:cs="宋体" w:asciiTheme="minorEastAsia" w:hAnsiTheme="minorEastAsia" w:eastAsiaTheme="minorEastAsia"/>
          <w:color w:val="auto"/>
          <w:sz w:val="24"/>
          <w:highlight w:val="none"/>
        </w:rPr>
        <w:t xml:space="preserve">约定其他责任的，从其约定。</w:t>
      </w:r>
      <w:r/>
    </w:p>
    <w:p>
      <w:pPr>
        <w:ind w:firstLine="482"/>
        <w:spacing w:line="560" w:lineRule="exact"/>
        <w:rPr>
          <w:rFonts w:cs="宋体" w:asciiTheme="minorEastAsia" w:hAnsiTheme="minorEastAsia" w:eastAsiaTheme="minorEastAsia"/>
          <w:b/>
          <w:color w:val="auto"/>
          <w:sz w:val="24"/>
          <w:highlight w:val="none"/>
        </w:rPr>
        <w:outlineLvl w:val="0"/>
      </w:pPr>
      <w:r/>
      <w:bookmarkStart w:id="104" w:name="_Toc28375"/>
      <w:r/>
      <w:bookmarkStart w:id="105" w:name="_Toc15583"/>
      <w:r/>
      <w:bookmarkStart w:id="106" w:name="_Toc16021"/>
      <w:r>
        <w:rPr>
          <w:rFonts w:cs="宋体" w:asciiTheme="minorEastAsia" w:hAnsiTheme="minorEastAsia" w:eastAsiaTheme="minorEastAsia"/>
          <w:b/>
          <w:color w:val="auto"/>
          <w:sz w:val="24"/>
          <w:highlight w:val="none"/>
        </w:rPr>
        <w:t xml:space="preserve">1.10</w:t>
      </w:r>
      <w:r>
        <w:rPr>
          <w:rFonts w:hint="eastAsia" w:cs="宋体" w:asciiTheme="minorEastAsia" w:hAnsiTheme="minorEastAsia" w:eastAsiaTheme="minorEastAsia"/>
          <w:b/>
          <w:color w:val="auto"/>
          <w:sz w:val="24"/>
          <w:highlight w:val="none"/>
        </w:rPr>
        <w:t xml:space="preserve">合同争议的解决</w:t>
      </w:r>
      <w:bookmarkEnd w:id="104"/>
      <w:r/>
      <w:bookmarkEnd w:id="105"/>
      <w:r/>
      <w:bookmarkEnd w:id="106"/>
      <w:r/>
      <w:r/>
    </w:p>
    <w:p>
      <w:pPr>
        <w:ind w:firstLine="480"/>
        <w:jc w:val="left"/>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1.10.1本合同履行过程中发生的任何争议，双方当事人均可通过和解或者调解解决；不愿和解、调解或者和解、调解不成的，向</w:t>
      </w:r>
      <w:r>
        <w:rPr>
          <w:rFonts w:hint="eastAsia" w:cs="宋体" w:asciiTheme="minorEastAsia" w:hAnsiTheme="minorEastAsia" w:eastAsiaTheme="minorEastAsia"/>
          <w:b/>
          <w:color w:val="auto"/>
          <w:sz w:val="24"/>
          <w:highlight w:val="none"/>
        </w:rPr>
        <w:t xml:space="preserve">甲方所在地</w:t>
      </w:r>
      <w:r>
        <w:rPr>
          <w:rFonts w:hint="eastAsia" w:cs="宋体" w:asciiTheme="minorEastAsia" w:hAnsiTheme="minorEastAsia" w:eastAsiaTheme="minorEastAsia"/>
          <w:color w:val="auto"/>
          <w:sz w:val="24"/>
          <w:highlight w:val="none"/>
        </w:rPr>
        <w:t xml:space="preserve">人民法院起诉。</w:t>
      </w:r>
      <w:r/>
    </w:p>
    <w:p>
      <w:pPr>
        <w:ind w:firstLine="480"/>
        <w:jc w:val="left"/>
        <w:spacing w:line="5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z w:val="24"/>
          <w:highlight w:val="none"/>
        </w:rPr>
        <w:t xml:space="preserve">10</w:t>
      </w:r>
      <w:r>
        <w:rPr>
          <w:rFonts w:hint="eastAsia" w:cs="宋体" w:asciiTheme="minorEastAsia" w:hAnsiTheme="minorEastAsia" w:eastAsiaTheme="minorEastAsia"/>
          <w:color w:val="auto"/>
          <w:sz w:val="24"/>
          <w:highlight w:val="none"/>
        </w:rPr>
        <w:t xml:space="preserve">.2如对任何争议向人民法院提起诉讼，除争议事项或争议事项所涉及的条款外，双方应继续履行本合同项下的其它义务。</w:t>
      </w:r>
      <w:r/>
    </w:p>
    <w:p>
      <w:pPr>
        <w:ind w:firstLine="480"/>
        <w:spacing w:line="5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1.11</w:t>
      </w:r>
      <w:r>
        <w:rPr>
          <w:rFonts w:hint="eastAsia" w:cs="宋体" w:asciiTheme="minorEastAsia" w:hAnsiTheme="minorEastAsia" w:eastAsiaTheme="minorEastAsia"/>
          <w:color w:val="auto"/>
          <w:sz w:val="24"/>
          <w:highlight w:val="none"/>
        </w:rPr>
        <w:t xml:space="preserve">合同生效及其他</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1.11.1本合同自双方当事人盖章时生效。</w:t>
      </w:r>
      <w:r/>
    </w:p>
    <w:p>
      <w:pPr>
        <w:ind w:firstLine="480"/>
        <w:jc w:val="left"/>
        <w:spacing w:line="560" w:lineRule="exact"/>
        <w:widowControl/>
        <w:rPr>
          <w:rFonts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1.11.2本合同未尽事宜，遵照《中华人民共和国民法典》有关条文执行。 </w:t>
      </w:r>
      <w:r/>
    </w:p>
    <w:p>
      <w:pPr>
        <w:spacing w:line="5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lang w:val="zh-CN"/>
        </w:rPr>
        <w:t xml:space="preserve">甲方（</w:t>
      </w:r>
      <w:r>
        <w:rPr>
          <w:rFonts w:hint="eastAsia" w:cs="宋体" w:asciiTheme="minorEastAsia" w:hAnsiTheme="minorEastAsia" w:eastAsiaTheme="minorEastAsia"/>
          <w:b/>
          <w:color w:val="auto"/>
          <w:sz w:val="24"/>
          <w:highlight w:val="none"/>
        </w:rPr>
        <w:t xml:space="preserve">盖章</w:t>
      </w:r>
      <w:r>
        <w:rPr>
          <w:rFonts w:hint="eastAsia" w:cs="宋体" w:asciiTheme="minorEastAsia" w:hAnsiTheme="minorEastAsia" w:eastAsiaTheme="minorEastAsia"/>
          <w:b/>
          <w:color w:val="auto"/>
          <w:sz w:val="24"/>
          <w:highlight w:val="none"/>
          <w:lang w:val="zh-CN"/>
        </w:rPr>
        <w:t xml:space="preserve">）</w:t>
      </w:r>
      <w:r>
        <w:rPr>
          <w:rFonts w:hint="eastAsia" w:cs="宋体" w:asciiTheme="minorEastAsia" w:hAnsiTheme="minorEastAsia" w:eastAsiaTheme="minorEastAsia"/>
          <w:color w:val="auto"/>
          <w:sz w:val="24"/>
          <w:highlight w:val="none"/>
          <w:lang w:val="zh-CN"/>
        </w:rPr>
        <w:t xml:space="preserve">：                           </w:t>
      </w:r>
      <w:r/>
    </w:p>
    <w:p>
      <w:pPr>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统一社会信用代码：                </w:t>
      </w:r>
      <w:r/>
    </w:p>
    <w:p>
      <w:pPr>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zh-CN"/>
        </w:rPr>
        <w:t xml:space="preserve">法定代表人或法定代表人姓名</w:t>
      </w:r>
      <w:r>
        <w:rPr>
          <w:rFonts w:hint="eastAsia" w:cs="宋体" w:asciiTheme="minorEastAsia" w:hAnsiTheme="minorEastAsia" w:eastAsiaTheme="minorEastAsia"/>
          <w:color w:val="auto"/>
          <w:sz w:val="24"/>
          <w:highlight w:val="none"/>
        </w:rPr>
        <w:t xml:space="preserve">：</w:t>
      </w:r>
      <w:r/>
    </w:p>
    <w:p>
      <w:pPr>
        <w:spacing w:line="560" w:lineRule="exac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约定送达地址： </w:t>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788"/>
        <w:ind w:left="0"/>
        <w:rPr>
          <w:rFonts w:asciiTheme="minorEastAsia" w:hAnsiTheme="minorEastAsia" w:eastAsiaTheme="minorEastAsia"/>
          <w:color w:val="auto"/>
          <w:highlight w:val="none"/>
          <w:lang w:val="zh-CN"/>
        </w:rPr>
      </w:pPr>
      <w:r>
        <w:rPr>
          <w:rFonts w:hint="eastAsia" w:cs="宋体" w:asciiTheme="minorEastAsia" w:hAnsiTheme="minorEastAsia" w:eastAsiaTheme="minorEastAsia"/>
          <w:b/>
          <w:color w:val="auto"/>
          <w:sz w:val="24"/>
          <w:highlight w:val="none"/>
          <w:lang w:val="zh-CN"/>
        </w:rPr>
        <w:t xml:space="preserve">乙方（</w:t>
      </w:r>
      <w:r>
        <w:rPr>
          <w:rFonts w:hint="eastAsia" w:cs="宋体" w:asciiTheme="minorEastAsia" w:hAnsiTheme="minorEastAsia" w:eastAsiaTheme="minorEastAsia"/>
          <w:b/>
          <w:color w:val="auto"/>
          <w:sz w:val="24"/>
          <w:highlight w:val="none"/>
        </w:rPr>
        <w:t xml:space="preserve">盖章</w:t>
      </w:r>
      <w:r>
        <w:rPr>
          <w:rFonts w:hint="eastAsia" w:cs="宋体" w:asciiTheme="minorEastAsia" w:hAnsiTheme="minorEastAsia" w:eastAsiaTheme="minorEastAsia"/>
          <w:b/>
          <w:color w:val="auto"/>
          <w:sz w:val="24"/>
          <w:highlight w:val="none"/>
          <w:lang w:val="zh-CN"/>
        </w:rPr>
        <w:t xml:space="preserve">）</w:t>
      </w:r>
      <w:r>
        <w:rPr>
          <w:rFonts w:hint="eastAsia" w:cs="宋体" w:asciiTheme="minorEastAsia" w:hAnsiTheme="minorEastAsia" w:eastAsiaTheme="minorEastAsia"/>
          <w:color w:val="auto"/>
          <w:sz w:val="24"/>
          <w:highlight w:val="none"/>
          <w:lang w:val="zh-CN"/>
        </w:rPr>
        <w:t xml:space="preserve">：</w:t>
      </w:r>
      <w:r/>
    </w:p>
    <w:p>
      <w:pPr>
        <w:spacing w:line="560" w:lineRule="exac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统一社会信用代码：</w:t>
      </w:r>
      <w:r/>
    </w:p>
    <w:p>
      <w:pPr>
        <w:spacing w:line="560" w:lineRule="exac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法定代表人或授权代表姓名:</w:t>
      </w:r>
      <w:r/>
    </w:p>
    <w:p>
      <w:pPr>
        <w:spacing w:line="560" w:lineRule="exact"/>
        <w:rPr>
          <w:rFonts w:cs="宋体" w:asciiTheme="minorEastAsia" w:hAnsiTheme="minorEastAsia" w:eastAsiaTheme="minorEastAsia"/>
          <w:color w:val="auto"/>
          <w:sz w:val="24"/>
          <w:highlight w:val="none"/>
          <w:lang w:val="zh-CN"/>
        </w:rPr>
      </w:pPr>
      <w:r>
        <w:rPr>
          <w:rFonts w:hint="eastAsia" w:cs="宋体" w:asciiTheme="minorEastAsia" w:hAnsiTheme="minorEastAsia" w:eastAsiaTheme="minorEastAsia"/>
          <w:color w:val="auto"/>
          <w:sz w:val="24"/>
          <w:highlight w:val="none"/>
          <w:lang w:val="zh-CN"/>
        </w:rPr>
        <w:t xml:space="preserve">约定送达地址：</w:t>
      </w:r>
      <w:r/>
    </w:p>
    <w:p>
      <w:pP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br w:type="page" w:clear="all"/>
      </w:r>
      <w:r/>
    </w:p>
    <w:p>
      <w:pPr>
        <w:ind w:firstLine="482"/>
        <w:jc w:val="center"/>
        <w:spacing w:line="560" w:lineRule="exact"/>
        <w:rPr>
          <w:rFonts w:cs="宋体"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t xml:space="preserve">第二部分 合同一般条款</w:t>
      </w:r>
      <w:r/>
    </w:p>
    <w:p>
      <w:pPr>
        <w:ind w:firstLine="482"/>
        <w:spacing w:line="560" w:lineRule="exact"/>
        <w:rPr>
          <w:rFonts w:cs="宋体" w:asciiTheme="minorEastAsia" w:hAnsiTheme="minorEastAsia" w:eastAsiaTheme="minorEastAsia"/>
          <w:b/>
          <w:color w:val="auto"/>
          <w:sz w:val="24"/>
          <w:highlight w:val="none"/>
        </w:rPr>
        <w:outlineLvl w:val="0"/>
      </w:pPr>
      <w:r/>
      <w:bookmarkStart w:id="107" w:name="_Toc28763"/>
      <w:r/>
      <w:bookmarkStart w:id="108" w:name="_Toc487900349"/>
      <w:r/>
      <w:bookmarkStart w:id="109" w:name="_Toc279701240"/>
      <w:r/>
      <w:bookmarkStart w:id="110" w:name="_Ref467379094"/>
      <w:r/>
      <w:bookmarkStart w:id="111" w:name="_Ref467378404"/>
      <w:r/>
      <w:bookmarkStart w:id="112" w:name="_Ref467378499"/>
      <w:r/>
      <w:bookmarkStart w:id="113" w:name="_Toc19614"/>
      <w:r/>
      <w:bookmarkStart w:id="114" w:name="_Ref467379195"/>
      <w:r/>
      <w:bookmarkStart w:id="115" w:name="_Ref467379205"/>
      <w:r/>
      <w:bookmarkStart w:id="116" w:name="_Toc259093669"/>
      <w:r/>
      <w:bookmarkStart w:id="117" w:name="_Ref467378463"/>
      <w:r/>
      <w:bookmarkStart w:id="118" w:name="_Toc16917"/>
      <w:r/>
      <w:bookmarkStart w:id="119" w:name="_Ref467379214"/>
      <w:r/>
      <w:bookmarkStart w:id="120" w:name="_Ref467379109"/>
      <w:r/>
      <w:bookmarkStart w:id="121" w:name="_Ref467379101"/>
      <w:r/>
      <w:bookmarkStart w:id="122" w:name="_Ref467379225"/>
      <w:r>
        <w:rPr>
          <w:rFonts w:hint="eastAsia" w:cs="宋体" w:asciiTheme="minorEastAsia" w:hAnsiTheme="minorEastAsia" w:eastAsiaTheme="minorEastAsia"/>
          <w:b/>
          <w:color w:val="auto"/>
          <w:sz w:val="24"/>
          <w:highlight w:val="none"/>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本合同中的下列词语应按以下内容进行解释：</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cs="宋体" w:asciiTheme="minorEastAsia" w:hAnsiTheme="minorEastAsia" w:eastAsiaTheme="minorEastAsia"/>
          <w:color w:val="auto"/>
          <w:sz w:val="24"/>
          <w:highlight w:val="none"/>
        </w:rPr>
      </w:pPr>
      <w:r/>
      <w:bookmarkStart w:id="123" w:name="_Hlk132880551"/>
      <w:r>
        <w:rPr>
          <w:rFonts w:hint="eastAsia" w:cs="宋体" w:asciiTheme="minorEastAsia" w:hAnsiTheme="minorEastAsia" w:eastAsiaTheme="minorEastAsia"/>
          <w:color w:val="auto"/>
          <w:sz w:val="24"/>
          <w:highlight w:val="none"/>
        </w:rPr>
        <w:t xml:space="preserve">2.1.3</w:t>
      </w:r>
      <w:bookmarkEnd w:id="123"/>
      <w:r>
        <w:rPr>
          <w:rFonts w:hint="eastAsia" w:cs="宋体" w:asciiTheme="minorEastAsia" w:hAnsiTheme="minorEastAsia" w:eastAsiaTheme="minorEastAsia"/>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4</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服务</w:t>
      </w:r>
      <w:r>
        <w:rPr>
          <w:rFonts w:asciiTheme="minorEastAsia" w:hAnsiTheme="minorEastAsia" w:eastAsiaTheme="minorEastAsia"/>
          <w:color w:val="auto"/>
          <w:sz w:val="24"/>
          <w:highlight w:val="none"/>
        </w:rPr>
        <w:t xml:space="preserve">”系指</w:t>
      </w:r>
      <w:r>
        <w:rPr>
          <w:rFonts w:hint="eastAsia" w:cs="宋体" w:asciiTheme="minorEastAsia" w:hAnsiTheme="minorEastAsia" w:eastAsiaTheme="minorEastAsia"/>
          <w:color w:val="auto"/>
          <w:sz w:val="24"/>
          <w:highlight w:val="none"/>
        </w:rPr>
        <w:t xml:space="preserve">中标或成交</w:t>
      </w:r>
      <w:r>
        <w:rPr>
          <w:rFonts w:hint="eastAsia" w:asciiTheme="minorEastAsia" w:hAnsiTheme="minorEastAsia" w:eastAsiaTheme="minorEastAsia"/>
          <w:color w:val="auto"/>
          <w:sz w:val="24"/>
          <w:highlight w:val="none"/>
        </w:rPr>
        <w:t xml:space="preserve">供应商</w:t>
      </w:r>
      <w:r>
        <w:rPr>
          <w:rFonts w:asciiTheme="minorEastAsia" w:hAnsiTheme="minorEastAsia" w:eastAsiaTheme="minorEastAsia"/>
          <w:color w:val="auto"/>
          <w:sz w:val="24"/>
          <w:highlight w:val="none"/>
        </w:rPr>
        <w:t xml:space="preserve">根据合同约定应向采购人</w:t>
      </w:r>
      <w:r>
        <w:rPr>
          <w:rFonts w:hint="eastAsia" w:asciiTheme="minorEastAsia" w:hAnsiTheme="minorEastAsia" w:eastAsiaTheme="minorEastAsia"/>
          <w:color w:val="auto"/>
          <w:sz w:val="24"/>
          <w:highlight w:val="none"/>
        </w:rPr>
        <w:t xml:space="preserve">履行</w:t>
      </w:r>
      <w:r>
        <w:rPr>
          <w:rFonts w:asciiTheme="minorEastAsia" w:hAnsiTheme="minorEastAsia" w:eastAsiaTheme="minorEastAsia"/>
          <w:color w:val="auto"/>
          <w:sz w:val="24"/>
          <w:highlight w:val="none"/>
        </w:rPr>
        <w:t xml:space="preserve">的</w:t>
      </w:r>
      <w:r>
        <w:rPr>
          <w:rFonts w:hint="eastAsia" w:asciiTheme="minorEastAsia" w:hAnsiTheme="minorEastAsia" w:eastAsiaTheme="minorEastAsia"/>
          <w:color w:val="auto"/>
          <w:sz w:val="24"/>
          <w:highlight w:val="none"/>
        </w:rPr>
        <w:t xml:space="preserve">除货物和工程以外的其他政府采购对象，包括采购人自身需要的服务和向社会公众提供的公共服务。</w:t>
      </w:r>
      <w:r/>
    </w:p>
    <w:p>
      <w:pPr>
        <w:ind w:firstLine="480"/>
        <w:spacing w:line="560" w:lineRule="exact"/>
        <w:rPr>
          <w:rFonts w:cs="宋体" w:asciiTheme="minorEastAsia" w:hAnsiTheme="minorEastAsia" w:eastAsiaTheme="minorEastAsia"/>
          <w:color w:val="auto"/>
          <w:sz w:val="24"/>
          <w:highlight w:val="none"/>
        </w:rPr>
      </w:pPr>
      <w:r/>
      <w:bookmarkStart w:id="124" w:name="_Ref467378840"/>
      <w:r>
        <w:rPr>
          <w:rFonts w:hint="eastAsia"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5</w:t>
      </w:r>
      <w:r>
        <w:rPr>
          <w:rFonts w:hint="eastAsia" w:cs="宋体" w:asciiTheme="minorEastAsia" w:hAnsiTheme="minorEastAsia" w:eastAsiaTheme="minorEastAsia"/>
          <w:color w:val="auto"/>
          <w:sz w:val="24"/>
          <w:highlight w:val="none"/>
        </w:rPr>
        <w:t xml:space="preserve"> “甲方”系指与中标或成交供应商签署合同的采购人</w:t>
      </w:r>
      <w:bookmarkEnd w:id="124"/>
      <w:r>
        <w:rPr>
          <w:rFonts w:hint="eastAsia" w:cs="宋体" w:asciiTheme="minorEastAsia" w:hAnsiTheme="minorEastAsia" w:eastAsiaTheme="minorEastAsia"/>
          <w:color w:val="auto"/>
          <w:sz w:val="24"/>
          <w:highlight w:val="none"/>
        </w:rPr>
        <w:t xml:space="preserve">；采购人委托采购代理机构代表其与乙方签订合同的，采购人的授权委托书作为合同附件。</w:t>
      </w:r>
      <w:r/>
    </w:p>
    <w:p>
      <w:pPr>
        <w:ind w:firstLine="480"/>
        <w:spacing w:line="560" w:lineRule="exact"/>
        <w:rPr>
          <w:rFonts w:cs="宋体" w:asciiTheme="minorEastAsia" w:hAnsiTheme="minorEastAsia" w:eastAsiaTheme="minorEastAsia"/>
          <w:color w:val="auto"/>
          <w:sz w:val="24"/>
          <w:highlight w:val="none"/>
        </w:rPr>
      </w:pPr>
      <w:r/>
      <w:bookmarkStart w:id="125" w:name="_Ref467379400"/>
      <w:r>
        <w:rPr>
          <w:rFonts w:hint="eastAsia"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6</w:t>
      </w:r>
      <w:r>
        <w:rPr>
          <w:rFonts w:hint="eastAsia" w:cs="宋体" w:asciiTheme="minorEastAsia" w:hAnsiTheme="minorEastAsia" w:eastAsiaTheme="minorEastAsia"/>
          <w:color w:val="auto"/>
          <w:sz w:val="24"/>
          <w:highlight w:val="none"/>
        </w:rPr>
        <w:t xml:space="preserve"> “乙方”系指根据合同约定交付货物的中标或成交供应商</w:t>
      </w:r>
      <w:bookmarkEnd w:id="125"/>
      <w:r>
        <w:rPr>
          <w:rFonts w:hint="eastAsia" w:cs="宋体" w:asciiTheme="minorEastAsia" w:hAnsiTheme="minorEastAsia" w:eastAsiaTheme="minorEastAsia"/>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cs="宋体" w:asciiTheme="minorEastAsia" w:hAnsiTheme="minorEastAsia" w:eastAsiaTheme="minorEastAsia"/>
          <w:color w:val="auto"/>
          <w:sz w:val="24"/>
          <w:highlight w:val="none"/>
        </w:rPr>
      </w:pPr>
      <w:r/>
      <w:bookmarkStart w:id="126" w:name="_Ref467379436"/>
      <w:r>
        <w:rPr>
          <w:rFonts w:hint="eastAsia" w:cs="宋体" w:asciiTheme="minorEastAsia" w:hAnsiTheme="minorEastAsia" w:eastAsiaTheme="minorEastAsia"/>
          <w:color w:val="auto"/>
          <w:sz w:val="24"/>
          <w:highlight w:val="none"/>
        </w:rPr>
        <w:t xml:space="preserve">2.1.</w:t>
      </w:r>
      <w:r>
        <w:rPr>
          <w:rFonts w:cs="宋体" w:asciiTheme="minorEastAsia" w:hAnsiTheme="minorEastAsia" w:eastAsiaTheme="minorEastAsia"/>
          <w:color w:val="auto"/>
          <w:sz w:val="24"/>
          <w:highlight w:val="none"/>
        </w:rPr>
        <w:t xml:space="preserve">7</w:t>
      </w:r>
      <w:r>
        <w:rPr>
          <w:rFonts w:hint="eastAsia" w:cs="宋体" w:asciiTheme="minorEastAsia" w:hAnsiTheme="minorEastAsia" w:eastAsiaTheme="minorEastAsia"/>
          <w:color w:val="auto"/>
          <w:sz w:val="24"/>
          <w:highlight w:val="none"/>
        </w:rPr>
        <w:t xml:space="preserve"> “现场”系指合同约定货物将要运至或者安装的地点。</w:t>
      </w:r>
      <w:bookmarkEnd w:id="126"/>
      <w:r/>
      <w:r/>
    </w:p>
    <w:p>
      <w:pPr>
        <w:ind w:firstLine="482"/>
        <w:spacing w:line="560" w:lineRule="exact"/>
        <w:rPr>
          <w:rFonts w:cs="宋体" w:asciiTheme="minorEastAsia" w:hAnsiTheme="minorEastAsia" w:eastAsiaTheme="minorEastAsia"/>
          <w:b/>
          <w:color w:val="auto"/>
          <w:sz w:val="24"/>
          <w:highlight w:val="none"/>
        </w:rPr>
        <w:outlineLvl w:val="0"/>
      </w:pPr>
      <w:r/>
      <w:bookmarkStart w:id="127" w:name="_Toc279701241"/>
      <w:r/>
      <w:bookmarkStart w:id="128" w:name="_Toc13336"/>
      <w:r/>
      <w:bookmarkStart w:id="129" w:name="_Toc487900350"/>
      <w:r/>
      <w:bookmarkStart w:id="130" w:name="_Toc32504"/>
      <w:r/>
      <w:bookmarkStart w:id="131" w:name="_Toc27635"/>
      <w:r/>
      <w:bookmarkStart w:id="132" w:name="_Toc259093670"/>
      <w:r>
        <w:rPr>
          <w:rFonts w:hint="eastAsia" w:cs="宋体" w:asciiTheme="minorEastAsia" w:hAnsiTheme="minorEastAsia" w:eastAsiaTheme="minorEastAsia"/>
          <w:b/>
          <w:color w:val="auto"/>
          <w:sz w:val="24"/>
          <w:highlight w:val="none"/>
        </w:rPr>
        <w:t xml:space="preserve">2.2 技术规范</w:t>
      </w:r>
      <w:bookmarkEnd w:id="127"/>
      <w:r/>
      <w:bookmarkEnd w:id="128"/>
      <w:r/>
      <w:bookmarkEnd w:id="129"/>
      <w:r/>
      <w:bookmarkEnd w:id="130"/>
      <w:r/>
      <w:bookmarkEnd w:id="131"/>
      <w:r/>
      <w:bookmarkEnd w:id="132"/>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货物或服务所应遵守的技术规范应与采购文件规定的技术规范和技术规范附件(</w:t>
      </w:r>
      <w:r>
        <w:rPr>
          <w:rFonts w:hint="eastAsia" w:cs="宋体" w:asciiTheme="minorEastAsia" w:hAnsiTheme="minorEastAsia" w:eastAsiaTheme="minorEastAsia"/>
          <w:i/>
          <w:iCs/>
          <w:color w:val="auto"/>
          <w:sz w:val="24"/>
          <w:highlight w:val="none"/>
        </w:rPr>
        <w:t xml:space="preserve">如果有的话</w:t>
      </w:r>
      <w:r>
        <w:rPr>
          <w:rFonts w:hint="eastAsia" w:cs="宋体" w:asciiTheme="minorEastAsia" w:hAnsiTheme="minorEastAsia" w:eastAsiaTheme="minorEastAsia"/>
          <w:color w:val="auto"/>
          <w:sz w:val="24"/>
          <w:highlight w:val="none"/>
        </w:rPr>
        <w:t xml:space="preserve">)及其技术规范偏差表(</w:t>
      </w:r>
      <w:r>
        <w:rPr>
          <w:rFonts w:hint="eastAsia" w:cs="宋体" w:asciiTheme="minorEastAsia" w:hAnsiTheme="minorEastAsia" w:eastAsiaTheme="minorEastAsia"/>
          <w:i/>
          <w:iCs/>
          <w:color w:val="auto"/>
          <w:sz w:val="24"/>
          <w:highlight w:val="none"/>
        </w:rPr>
        <w:t xml:space="preserve">如果被甲方接受的话)</w:t>
      </w:r>
      <w:r>
        <w:rPr>
          <w:rFonts w:hint="eastAsia" w:cs="宋体" w:asciiTheme="minorEastAsia" w:hAnsiTheme="minorEastAsia" w:eastAsiaTheme="minorEastAsia"/>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cs="宋体" w:asciiTheme="minorEastAsia" w:hAnsiTheme="minorEastAsia" w:eastAsiaTheme="minorEastAsia"/>
          <w:b/>
          <w:color w:val="auto"/>
          <w:sz w:val="24"/>
          <w:highlight w:val="none"/>
        </w:rPr>
        <w:outlineLvl w:val="0"/>
      </w:pPr>
      <w:r/>
      <w:bookmarkStart w:id="133" w:name="_Toc31634"/>
      <w:r/>
      <w:bookmarkStart w:id="134" w:name="_Toc259093671"/>
      <w:r/>
      <w:bookmarkStart w:id="135" w:name="_Toc27853"/>
      <w:r/>
      <w:bookmarkStart w:id="136" w:name="_Toc9829"/>
      <w:r/>
      <w:bookmarkStart w:id="137" w:name="_Toc487900351"/>
      <w:r/>
      <w:bookmarkStart w:id="138" w:name="_Toc279701242"/>
      <w:r>
        <w:rPr>
          <w:rFonts w:hint="eastAsia" w:cs="宋体" w:asciiTheme="minorEastAsia" w:hAnsiTheme="minorEastAsia" w:eastAsiaTheme="minorEastAsia"/>
          <w:b/>
          <w:color w:val="auto"/>
          <w:sz w:val="24"/>
          <w:highlight w:val="none"/>
        </w:rPr>
        <w:t xml:space="preserve">2.3 知识产权</w:t>
      </w:r>
      <w:bookmarkEnd w:id="133"/>
      <w:r/>
      <w:bookmarkEnd w:id="134"/>
      <w:r/>
      <w:bookmarkEnd w:id="135"/>
      <w:r/>
      <w:bookmarkEnd w:id="136"/>
      <w:r/>
      <w:bookmarkEnd w:id="137"/>
      <w:r/>
      <w:bookmarkEnd w:id="138"/>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cs="宋体" w:asciiTheme="minorEastAsia" w:hAnsiTheme="minorEastAsia" w:eastAsiaTheme="minorEastAsia"/>
          <w:iCs/>
          <w:color w:val="auto"/>
          <w:sz w:val="24"/>
          <w:highlight w:val="none"/>
        </w:rPr>
      </w:pPr>
      <w:r>
        <w:rPr>
          <w:rFonts w:hint="eastAsia" w:cs="宋体" w:asciiTheme="minorEastAsia" w:hAnsiTheme="minorEastAsia" w:eastAsiaTheme="minorEastAsia"/>
          <w:color w:val="auto"/>
          <w:sz w:val="24"/>
          <w:highlight w:val="none"/>
        </w:rPr>
        <w:t xml:space="preserve">2.3.2具有知识产权的计算机软件等货物或</w:t>
      </w:r>
      <w:r>
        <w:rPr>
          <w:rFonts w:hint="eastAsia" w:asciiTheme="minorEastAsia" w:hAnsiTheme="minorEastAsia" w:eastAsiaTheme="minorEastAsia"/>
          <w:color w:val="auto"/>
          <w:sz w:val="24"/>
          <w:highlight w:val="none"/>
        </w:rPr>
        <w:t xml:space="preserve">技术成果</w:t>
      </w:r>
      <w:r>
        <w:rPr>
          <w:rFonts w:hint="eastAsia" w:cs="宋体" w:asciiTheme="minorEastAsia" w:hAnsiTheme="minorEastAsia" w:eastAsiaTheme="minorEastAsia"/>
          <w:color w:val="auto"/>
          <w:sz w:val="24"/>
          <w:highlight w:val="none"/>
        </w:rPr>
        <w:t xml:space="preserve">的知识产权归属，详见</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.3.2</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139" w:name="_Toc11932"/>
      <w:r/>
      <w:bookmarkStart w:id="140" w:name="_Toc29149"/>
      <w:r/>
      <w:bookmarkStart w:id="141" w:name="_Toc4194"/>
      <w:r>
        <w:rPr>
          <w:rFonts w:hint="eastAsia" w:cs="宋体" w:asciiTheme="minorEastAsia" w:hAnsiTheme="minorEastAsia" w:eastAsiaTheme="minorEastAsia"/>
          <w:b/>
          <w:color w:val="auto"/>
          <w:sz w:val="24"/>
          <w:highlight w:val="none"/>
        </w:rPr>
        <w:t xml:space="preserve">2.4 包装和装运</w:t>
      </w:r>
      <w:bookmarkEnd w:id="139"/>
      <w:r/>
      <w:bookmarkEnd w:id="140"/>
      <w:r/>
      <w:bookmarkEnd w:id="141"/>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2.4.1除</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.4.1</w:t>
      </w:r>
      <w:r>
        <w:rPr>
          <w:rFonts w:hint="eastAsia" w:cs="宋体" w:asciiTheme="minorEastAsia" w:hAnsiTheme="minorEastAsia" w:eastAsiaTheme="minorEastAsia"/>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2.4.3 装运货物的要求和通知，详见</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.4.3</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142" w:name="_Ref467378541"/>
      <w:r/>
      <w:bookmarkStart w:id="143" w:name="_Toc259093674"/>
      <w:r/>
      <w:bookmarkStart w:id="144" w:name="_Toc279701245"/>
      <w:r/>
      <w:bookmarkStart w:id="145" w:name="_Ref467379542"/>
      <w:r/>
      <w:bookmarkStart w:id="146" w:name="_Ref467378591"/>
      <w:r/>
      <w:bookmarkStart w:id="147" w:name="_Ref467379536"/>
      <w:r/>
      <w:bookmarkStart w:id="148" w:name="_Ref467379527"/>
      <w:r/>
      <w:bookmarkStart w:id="149" w:name="_Toc487900354"/>
      <w:r/>
      <w:bookmarkStart w:id="150" w:name="_Toc30272"/>
      <w:r/>
      <w:bookmarkStart w:id="151" w:name="_Toc19074"/>
      <w:r/>
      <w:bookmarkStart w:id="152" w:name="_Toc26182"/>
      <w:r>
        <w:rPr>
          <w:rFonts w:hint="eastAsia" w:cs="宋体" w:asciiTheme="minorEastAsia" w:hAnsiTheme="minorEastAsia" w:eastAsiaTheme="minorEastAsia"/>
          <w:b/>
          <w:color w:val="auto"/>
          <w:sz w:val="24"/>
          <w:highlight w:val="none"/>
        </w:rPr>
        <w:t xml:space="preserve">2.</w:t>
      </w:r>
      <w:bookmarkEnd w:id="142"/>
      <w:r/>
      <w:bookmarkEnd w:id="143"/>
      <w:r/>
      <w:bookmarkEnd w:id="144"/>
      <w:r/>
      <w:bookmarkEnd w:id="145"/>
      <w:r/>
      <w:bookmarkEnd w:id="146"/>
      <w:r/>
      <w:bookmarkEnd w:id="147"/>
      <w:r/>
      <w:bookmarkEnd w:id="148"/>
      <w:r/>
      <w:bookmarkEnd w:id="149"/>
      <w:r>
        <w:rPr>
          <w:rFonts w:hint="eastAsia" w:cs="宋体" w:asciiTheme="minorEastAsia" w:hAnsiTheme="minorEastAsia" w:eastAsiaTheme="minorEastAsia"/>
          <w:b/>
          <w:color w:val="auto"/>
          <w:sz w:val="24"/>
          <w:highlight w:val="none"/>
        </w:rPr>
        <w:t xml:space="preserve">5 履约检查和问题反馈</w:t>
      </w:r>
      <w:bookmarkEnd w:id="150"/>
      <w:r/>
      <w:bookmarkEnd w:id="151"/>
      <w:r/>
      <w:bookmarkEnd w:id="152"/>
      <w:r/>
      <w:r/>
    </w:p>
    <w:p>
      <w:pPr>
        <w:ind w:firstLine="480"/>
        <w:spacing w:line="560" w:lineRule="exact"/>
        <w:rPr>
          <w:rFonts w:cs="宋体" w:asciiTheme="minorEastAsia" w:hAnsiTheme="minorEastAsia" w:eastAsiaTheme="minorEastAsia"/>
          <w:color w:val="auto"/>
          <w:sz w:val="24"/>
          <w:highlight w:val="none"/>
        </w:rPr>
      </w:pPr>
      <w:r/>
      <w:bookmarkStart w:id="153" w:name="_Ref467379657"/>
      <w:r>
        <w:rPr>
          <w:rFonts w:hint="eastAsia" w:cs="宋体" w:asciiTheme="minorEastAsia" w:hAnsiTheme="minorEastAsia" w:eastAsiaTheme="minorEastAsia"/>
          <w:color w:val="auto"/>
          <w:sz w:val="24"/>
          <w:highlight w:val="none"/>
        </w:rPr>
        <w:t xml:space="preserve">2.5.1</w:t>
      </w:r>
      <w:bookmarkEnd w:id="153"/>
      <w:r/>
      <w:bookmarkStart w:id="154" w:name="_Toc186431854"/>
      <w:r/>
      <w:bookmarkStart w:id="155" w:name="_Toc487900357"/>
      <w:r/>
      <w:bookmarkStart w:id="156" w:name="_Ref467379793"/>
      <w:r/>
      <w:bookmarkStart w:id="157" w:name="_Toc279701247"/>
      <w:r/>
      <w:bookmarkStart w:id="158" w:name="_Toc259093676"/>
      <w:r/>
      <w:bookmarkStart w:id="159" w:name="_Ref467379807"/>
      <w:r>
        <w:rPr>
          <w:rFonts w:hint="eastAsia" w:cs="宋体" w:asciiTheme="minorEastAsia" w:hAnsiTheme="minorEastAsia" w:eastAsiaTheme="minorEastAsia"/>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2.5.2 合同履行期间，甲方有权将履行过程中出现的问题反馈给乙方，双方当事人应以书面形式约定需要完善和改进的内容</w:t>
      </w:r>
      <w:bookmarkEnd w:id="154"/>
      <w:r/>
      <w:bookmarkStart w:id="160" w:name="_Toc186431855"/>
      <w:r>
        <w:rPr>
          <w:rFonts w:hint="eastAsia" w:cs="宋体" w:asciiTheme="minorEastAsia" w:hAnsiTheme="minorEastAsia" w:eastAsiaTheme="minorEastAsia"/>
          <w:color w:val="auto"/>
          <w:sz w:val="24"/>
          <w:highlight w:val="none"/>
        </w:rPr>
        <w:t xml:space="preserve">。</w:t>
      </w:r>
      <w:bookmarkEnd w:id="155"/>
      <w:r/>
      <w:bookmarkEnd w:id="156"/>
      <w:r/>
      <w:bookmarkEnd w:id="157"/>
      <w:r/>
      <w:bookmarkEnd w:id="158"/>
      <w:r/>
      <w:bookmarkEnd w:id="159"/>
      <w:r/>
      <w:bookmarkEnd w:id="160"/>
      <w:r/>
      <w:r/>
    </w:p>
    <w:p>
      <w:pPr>
        <w:ind w:firstLine="482"/>
        <w:spacing w:line="560" w:lineRule="exact"/>
        <w:rPr>
          <w:rFonts w:cs="宋体" w:asciiTheme="minorEastAsia" w:hAnsiTheme="minorEastAsia" w:eastAsiaTheme="minorEastAsia"/>
          <w:b/>
          <w:color w:val="auto"/>
          <w:sz w:val="24"/>
          <w:highlight w:val="none"/>
        </w:rPr>
        <w:outlineLvl w:val="0"/>
      </w:pPr>
      <w:r/>
      <w:bookmarkStart w:id="161" w:name="_Ref467379923"/>
      <w:r/>
      <w:bookmarkStart w:id="162" w:name="_Toc259093677"/>
      <w:r/>
      <w:bookmarkStart w:id="163" w:name="_Toc487900358"/>
      <w:r/>
      <w:bookmarkStart w:id="164" w:name="_Ref467379863"/>
      <w:r/>
      <w:bookmarkStart w:id="165" w:name="_Ref467379852"/>
      <w:r/>
      <w:bookmarkStart w:id="166" w:name="_Toc279701248"/>
      <w:r/>
      <w:bookmarkStart w:id="167" w:name="_Toc774"/>
      <w:r/>
      <w:bookmarkStart w:id="168" w:name="_Toc3225"/>
      <w:r/>
      <w:bookmarkStart w:id="169" w:name="_Toc16110"/>
      <w:r>
        <w:rPr>
          <w:rFonts w:hint="eastAsia" w:cs="宋体" w:asciiTheme="minorEastAsia" w:hAnsiTheme="minorEastAsia" w:eastAsiaTheme="minorEastAsia"/>
          <w:b/>
          <w:color w:val="auto"/>
          <w:sz w:val="24"/>
          <w:highlight w:val="none"/>
        </w:rPr>
        <w:t xml:space="preserve">2.6 技术资料</w:t>
      </w:r>
      <w:bookmarkEnd w:id="161"/>
      <w:r/>
      <w:bookmarkEnd w:id="162"/>
      <w:r/>
      <w:bookmarkEnd w:id="163"/>
      <w:r/>
      <w:bookmarkEnd w:id="164"/>
      <w:r/>
      <w:bookmarkEnd w:id="165"/>
      <w:r/>
      <w:bookmarkEnd w:id="166"/>
      <w:r>
        <w:rPr>
          <w:rFonts w:hint="eastAsia" w:cs="宋体" w:asciiTheme="minorEastAsia" w:hAnsiTheme="minorEastAsia" w:eastAsiaTheme="minorEastAsia"/>
          <w:b/>
          <w:color w:val="auto"/>
          <w:sz w:val="24"/>
          <w:highlight w:val="none"/>
        </w:rPr>
        <w:t xml:space="preserve">和保密义务</w:t>
      </w:r>
      <w:bookmarkEnd w:id="167"/>
      <w:r/>
      <w:bookmarkEnd w:id="168"/>
      <w:r/>
      <w:bookmarkEnd w:id="169"/>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 乙方有权依据合同约定和项目需要，向甲方了解有关情况，调阅有关资料等，甲方应予积极配合；</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2.6.2 乙方有义务妥善保管和保护由甲方提供的前款信息和资料等；</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2.6.5 本保密条款长期有效，本合同变更、终止或解除等均不影响本条款的效力。</w:t>
      </w:r>
      <w:r/>
    </w:p>
    <w:p>
      <w:pPr>
        <w:ind w:firstLine="482"/>
        <w:spacing w:line="560" w:lineRule="exact"/>
        <w:rPr>
          <w:rFonts w:cs="宋体" w:asciiTheme="minorEastAsia" w:hAnsiTheme="minorEastAsia" w:eastAsiaTheme="minorEastAsia"/>
          <w:b/>
          <w:color w:val="auto"/>
          <w:sz w:val="24"/>
          <w:highlight w:val="none"/>
        </w:rPr>
        <w:outlineLvl w:val="0"/>
      </w:pPr>
      <w:r/>
      <w:bookmarkStart w:id="170" w:name="_Toc7860"/>
      <w:r>
        <w:rPr>
          <w:rFonts w:hint="eastAsia" w:cs="宋体" w:asciiTheme="minorEastAsia" w:hAnsiTheme="minorEastAsia" w:eastAsiaTheme="minorEastAsia"/>
          <w:b/>
          <w:color w:val="auto"/>
          <w:sz w:val="24"/>
          <w:highlight w:val="none"/>
        </w:rPr>
        <w:t xml:space="preserve">2.7 质量保证</w:t>
      </w:r>
      <w:bookmarkEnd w:id="170"/>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cs="宋体" w:asciiTheme="minorEastAsia" w:hAnsiTheme="minorEastAsia" w:eastAsiaTheme="minorEastAsia"/>
          <w:b/>
          <w:color w:val="auto"/>
          <w:sz w:val="24"/>
          <w:highlight w:val="none"/>
        </w:rPr>
        <w:outlineLvl w:val="0"/>
      </w:pPr>
      <w:r/>
      <w:bookmarkStart w:id="171" w:name="_Toc17244"/>
      <w:r/>
      <w:bookmarkStart w:id="172" w:name="_Toc259093681"/>
      <w:r/>
      <w:bookmarkStart w:id="173" w:name="_Toc487900362"/>
      <w:r/>
      <w:bookmarkStart w:id="174" w:name="_Toc279701252"/>
      <w:r>
        <w:rPr>
          <w:rFonts w:hint="eastAsia" w:cs="宋体" w:asciiTheme="minorEastAsia" w:hAnsiTheme="minorEastAsia" w:eastAsiaTheme="minorEastAsia"/>
          <w:b/>
          <w:color w:val="auto"/>
          <w:sz w:val="24"/>
          <w:highlight w:val="none"/>
        </w:rPr>
        <w:t xml:space="preserve">2.8 货物的风险负担</w:t>
      </w:r>
      <w:bookmarkEnd w:id="171"/>
      <w:r/>
      <w:r/>
    </w:p>
    <w:p>
      <w:pPr>
        <w:ind w:firstLine="480"/>
        <w:spacing w:line="560" w:lineRule="exact"/>
        <w:rPr>
          <w:rFonts w:cs="宋体" w:asciiTheme="minorEastAsia" w:hAnsiTheme="minorEastAsia" w:eastAsiaTheme="minorEastAsia"/>
          <w:b/>
          <w:iCs/>
          <w:color w:val="auto"/>
          <w:sz w:val="24"/>
          <w:highlight w:val="none"/>
        </w:rPr>
      </w:pPr>
      <w:r>
        <w:rPr>
          <w:rFonts w:hint="eastAsia" w:cs="宋体" w:asciiTheme="minorEastAsia" w:hAnsiTheme="minorEastAsia" w:eastAsiaTheme="minorEastAsia"/>
          <w:color w:val="auto"/>
          <w:sz w:val="24"/>
          <w:highlight w:val="none"/>
        </w:rPr>
        <w:t xml:space="preserve">货物或者在途货物或者交付给第一承运人后的货物毁损、灭失的风险负担详见</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.8</w:t>
      </w:r>
      <w:r>
        <w:rPr>
          <w:rFonts w:hint="eastAsia" w:cs="宋体" w:asciiTheme="minorEastAsia" w:hAnsiTheme="minorEastAsia" w:eastAsiaTheme="minorEastAsia"/>
          <w:iCs/>
          <w:color w:val="auto"/>
          <w:sz w:val="24"/>
          <w:highlight w:val="none"/>
        </w:rPr>
        <w:t xml:space="preserve">。</w:t>
      </w:r>
      <w:r/>
    </w:p>
    <w:p>
      <w:pPr>
        <w:ind w:firstLine="482"/>
        <w:spacing w:line="560" w:lineRule="exact"/>
        <w:rPr>
          <w:rFonts w:cs="宋体" w:asciiTheme="minorEastAsia" w:hAnsiTheme="minorEastAsia" w:eastAsiaTheme="minorEastAsia"/>
          <w:b/>
          <w:color w:val="auto"/>
          <w:sz w:val="24"/>
          <w:highlight w:val="none"/>
        </w:rPr>
        <w:outlineLvl w:val="0"/>
      </w:pPr>
      <w:r/>
      <w:bookmarkStart w:id="175" w:name="_Toc14055"/>
      <w:r>
        <w:rPr>
          <w:rFonts w:hint="eastAsia" w:cs="宋体" w:asciiTheme="minorEastAsia" w:hAnsiTheme="minorEastAsia" w:eastAsiaTheme="minorEastAsia"/>
          <w:b/>
          <w:color w:val="auto"/>
          <w:sz w:val="24"/>
          <w:highlight w:val="none"/>
        </w:rPr>
        <w:t xml:space="preserve">2.9 延迟</w:t>
      </w:r>
      <w:bookmarkEnd w:id="172"/>
      <w:r/>
      <w:bookmarkEnd w:id="173"/>
      <w:r/>
      <w:bookmarkEnd w:id="174"/>
      <w:r/>
      <w:bookmarkEnd w:id="175"/>
      <w:r>
        <w:rPr>
          <w:rFonts w:hint="eastAsia" w:cs="宋体" w:asciiTheme="minorEastAsia" w:hAnsiTheme="minorEastAsia" w:eastAsiaTheme="minorEastAsia"/>
          <w:b/>
          <w:color w:val="auto"/>
          <w:sz w:val="24"/>
          <w:highlight w:val="none"/>
        </w:rPr>
        <w:t xml:space="preserve">交付</w:t>
      </w:r>
      <w:r/>
    </w:p>
    <w:p>
      <w:pPr>
        <w:ind w:firstLine="480"/>
        <w:spacing w:line="560" w:lineRule="exact"/>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甲乙双方签订合同后，乙方应按照合同约定履行合同义务，除不可抗力外，乙方不得延迟交付。</w:t>
      </w:r>
      <w:r>
        <w:rPr>
          <w:rFonts w:hint="eastAsia" w:cs="宋体" w:asciiTheme="minorEastAsia" w:hAnsiTheme="minorEastAsia" w:eastAsiaTheme="minorEastAsia"/>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cs="宋体" w:asciiTheme="minorEastAsia" w:hAnsiTheme="minorEastAsia" w:eastAsiaTheme="minorEastAsia"/>
          <w:b/>
          <w:color w:val="auto"/>
          <w:sz w:val="24"/>
          <w:highlight w:val="none"/>
        </w:rPr>
        <w:outlineLvl w:val="0"/>
      </w:pPr>
      <w:r/>
      <w:bookmarkStart w:id="176" w:name="_Toc7502"/>
      <w:r/>
      <w:bookmarkStart w:id="177" w:name="_Ref467378121"/>
      <w:r/>
      <w:bookmarkStart w:id="178" w:name="_Toc259093683"/>
      <w:r/>
      <w:bookmarkStart w:id="179" w:name="_Toc487900364"/>
      <w:r/>
      <w:bookmarkStart w:id="180" w:name="_Toc279701254"/>
      <w:r>
        <w:rPr>
          <w:rFonts w:hint="eastAsia" w:cs="宋体" w:asciiTheme="minorEastAsia" w:hAnsiTheme="minorEastAsia" w:eastAsiaTheme="minorEastAsia"/>
          <w:b/>
          <w:color w:val="auto"/>
          <w:sz w:val="24"/>
          <w:highlight w:val="none"/>
        </w:rPr>
        <w:t xml:space="preserve">2.10 合同变更</w:t>
      </w:r>
      <w:bookmarkEnd w:id="176"/>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81" w:name="_Toc259093688"/>
      <w:r/>
      <w:bookmarkStart w:id="182" w:name="_Toc279701259"/>
      <w:r/>
      <w:bookmarkStart w:id="183" w:name="_Toc487900369"/>
      <w:r/>
      <w:r/>
    </w:p>
    <w:p>
      <w:pPr>
        <w:ind w:firstLine="482"/>
        <w:spacing w:line="560" w:lineRule="exact"/>
        <w:rPr>
          <w:rFonts w:cs="宋体" w:asciiTheme="minorEastAsia" w:hAnsiTheme="minorEastAsia" w:eastAsiaTheme="minorEastAsia"/>
          <w:b/>
          <w:color w:val="auto"/>
          <w:sz w:val="24"/>
          <w:highlight w:val="none"/>
        </w:rPr>
        <w:outlineLvl w:val="0"/>
      </w:pPr>
      <w:r/>
      <w:bookmarkStart w:id="184" w:name="_Toc10366"/>
      <w:r/>
      <w:bookmarkStart w:id="185" w:name="_Toc22955"/>
      <w:r/>
      <w:bookmarkStart w:id="186" w:name="_Toc15237"/>
      <w:r>
        <w:rPr>
          <w:rFonts w:hint="eastAsia" w:cs="宋体" w:asciiTheme="minorEastAsia" w:hAnsiTheme="minorEastAsia" w:eastAsiaTheme="minorEastAsia"/>
          <w:b/>
          <w:color w:val="auto"/>
          <w:sz w:val="24"/>
          <w:highlight w:val="none"/>
        </w:rPr>
        <w:t xml:space="preserve">2.11 合同转让</w:t>
      </w:r>
      <w:bookmarkEnd w:id="181"/>
      <w:r/>
      <w:bookmarkEnd w:id="182"/>
      <w:r/>
      <w:bookmarkEnd w:id="183"/>
      <w:r>
        <w:rPr>
          <w:rFonts w:hint="eastAsia" w:cs="宋体" w:asciiTheme="minorEastAsia" w:hAnsiTheme="minorEastAsia" w:eastAsiaTheme="minorEastAsia"/>
          <w:b/>
          <w:color w:val="auto"/>
          <w:sz w:val="24"/>
          <w:highlight w:val="none"/>
        </w:rPr>
        <w:t xml:space="preserve">和分包</w:t>
      </w:r>
      <w:bookmarkEnd w:id="184"/>
      <w:r/>
      <w:bookmarkEnd w:id="185"/>
      <w:r/>
      <w:bookmarkEnd w:id="186"/>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Theme="minorEastAsia" w:hAnsiTheme="minorEastAsia" w:eastAsiaTheme="minorEastAsia"/>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2.11.2乙方采取分包方式履行合同的，甲方可直接向分包供应商支付款项。</w:t>
      </w:r>
      <w:r/>
    </w:p>
    <w:p>
      <w:pPr>
        <w:ind w:firstLine="482"/>
        <w:spacing w:line="560" w:lineRule="exact"/>
        <w:rPr>
          <w:rFonts w:cs="宋体" w:asciiTheme="minorEastAsia" w:hAnsiTheme="minorEastAsia" w:eastAsiaTheme="minorEastAsia"/>
          <w:b/>
          <w:color w:val="auto"/>
          <w:sz w:val="24"/>
          <w:highlight w:val="none"/>
        </w:rPr>
        <w:outlineLvl w:val="0"/>
      </w:pPr>
      <w:r/>
      <w:bookmarkStart w:id="187" w:name="_Toc14066"/>
      <w:r/>
      <w:bookmarkStart w:id="188" w:name="_Toc13566"/>
      <w:r/>
      <w:bookmarkStart w:id="189" w:name="_Toc16508"/>
      <w:r>
        <w:rPr>
          <w:rFonts w:hint="eastAsia" w:cs="宋体" w:asciiTheme="minorEastAsia" w:hAnsiTheme="minorEastAsia" w:eastAsiaTheme="minorEastAsia"/>
          <w:b/>
          <w:color w:val="auto"/>
          <w:sz w:val="24"/>
          <w:highlight w:val="none"/>
        </w:rPr>
        <w:t xml:space="preserve">2.12 不可抗力</w:t>
      </w:r>
      <w:bookmarkEnd w:id="187"/>
      <w:r/>
      <w:bookmarkEnd w:id="188"/>
      <w:r/>
      <w:bookmarkEnd w:id="189"/>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2.12.2如不可抗力无法消除，致使合同目的无法实现的，双方均有权解除合同，且均不互相索赔。</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2.12.3 因不可抗力致使合同有变更必要的，双方当事人应在</w:t>
      </w:r>
      <w:r>
        <w:rPr>
          <w:rFonts w:hint="eastAsia" w:cs="宋体" w:asciiTheme="minorEastAsia" w:hAnsiTheme="minorEastAsia" w:eastAsiaTheme="minorEastAsia"/>
          <w:b/>
          <w:iCs/>
          <w:color w:val="auto"/>
          <w:sz w:val="24"/>
          <w:highlight w:val="none"/>
        </w:rPr>
        <w:t xml:space="preserve">合同专用条款2</w:t>
      </w:r>
      <w:r>
        <w:rPr>
          <w:rFonts w:cs="宋体" w:asciiTheme="minorEastAsia" w:hAnsiTheme="minorEastAsia" w:eastAsiaTheme="minorEastAsia"/>
          <w:b/>
          <w:iCs/>
          <w:color w:val="auto"/>
          <w:sz w:val="24"/>
          <w:highlight w:val="none"/>
        </w:rPr>
        <w:t xml:space="preserve">.12.3</w:t>
      </w:r>
      <w:r>
        <w:rPr>
          <w:rFonts w:hint="eastAsia" w:cs="宋体" w:asciiTheme="minorEastAsia" w:hAnsiTheme="minorEastAsia" w:eastAsiaTheme="minorEastAsia"/>
          <w:color w:val="auto"/>
          <w:sz w:val="24"/>
          <w:highlight w:val="none"/>
        </w:rPr>
        <w:t xml:space="preserve">约定时间内以书面形式变更合同；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2.12.4受不可抗力影响的一方在不可抗力发生后，应在</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.12.4</w:t>
      </w:r>
      <w:r>
        <w:rPr>
          <w:rFonts w:hint="eastAsia" w:cs="宋体" w:asciiTheme="minorEastAsia" w:hAnsiTheme="minorEastAsia" w:eastAsiaTheme="minorEastAsia"/>
          <w:color w:val="auto"/>
          <w:sz w:val="24"/>
          <w:highlight w:val="none"/>
        </w:rPr>
        <w:t xml:space="preserve">约定时间内以书面形式通知对方当事人，并在</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.12.4</w:t>
      </w:r>
      <w:r>
        <w:rPr>
          <w:rFonts w:hint="eastAsia" w:cs="宋体" w:asciiTheme="minorEastAsia" w:hAnsiTheme="minorEastAsia" w:eastAsiaTheme="minorEastAsia"/>
          <w:color w:val="auto"/>
          <w:sz w:val="24"/>
          <w:highlight w:val="none"/>
        </w:rPr>
        <w:t xml:space="preserve">约定时间内，将有关部门出具的证明文件送达对方当事人。</w:t>
      </w:r>
      <w:r/>
    </w:p>
    <w:p>
      <w:pPr>
        <w:ind w:firstLine="482"/>
        <w:spacing w:line="560" w:lineRule="exact"/>
        <w:rPr>
          <w:rFonts w:cs="宋体" w:asciiTheme="minorEastAsia" w:hAnsiTheme="minorEastAsia" w:eastAsiaTheme="minorEastAsia"/>
          <w:b/>
          <w:color w:val="auto"/>
          <w:sz w:val="24"/>
          <w:highlight w:val="none"/>
        </w:rPr>
        <w:outlineLvl w:val="0"/>
      </w:pPr>
      <w:r/>
      <w:bookmarkStart w:id="190" w:name="_Toc259093684"/>
      <w:r/>
      <w:bookmarkStart w:id="191" w:name="_Toc6969"/>
      <w:r/>
      <w:bookmarkStart w:id="192" w:name="_Toc689"/>
      <w:r/>
      <w:bookmarkStart w:id="193" w:name="_Toc30676"/>
      <w:r/>
      <w:bookmarkStart w:id="194" w:name="_Toc487900365"/>
      <w:r/>
      <w:bookmarkStart w:id="195" w:name="_Toc279701255"/>
      <w:r>
        <w:rPr>
          <w:rFonts w:hint="eastAsia" w:cs="宋体" w:asciiTheme="minorEastAsia" w:hAnsiTheme="minorEastAsia" w:eastAsiaTheme="minorEastAsia"/>
          <w:b/>
          <w:color w:val="auto"/>
          <w:sz w:val="24"/>
          <w:highlight w:val="none"/>
        </w:rPr>
        <w:t xml:space="preserve">2.13 税费</w:t>
      </w:r>
      <w:bookmarkEnd w:id="190"/>
      <w:r/>
      <w:bookmarkEnd w:id="191"/>
      <w:r/>
      <w:bookmarkEnd w:id="192"/>
      <w:r/>
      <w:bookmarkEnd w:id="193"/>
      <w:r/>
      <w:bookmarkEnd w:id="194"/>
      <w:r/>
      <w:bookmarkEnd w:id="195"/>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与合同有关的一切税费，均按照中华人民共和国法律的相关规定。</w:t>
      </w:r>
      <w:r/>
    </w:p>
    <w:p>
      <w:pPr>
        <w:ind w:firstLine="482"/>
        <w:spacing w:line="560" w:lineRule="exact"/>
        <w:rPr>
          <w:rFonts w:cs="宋体" w:asciiTheme="minorEastAsia" w:hAnsiTheme="minorEastAsia" w:eastAsiaTheme="minorEastAsia"/>
          <w:b/>
          <w:color w:val="auto"/>
          <w:sz w:val="24"/>
          <w:highlight w:val="none"/>
        </w:rPr>
        <w:outlineLvl w:val="0"/>
      </w:pPr>
      <w:r/>
      <w:bookmarkStart w:id="196" w:name="_Toc487900368"/>
      <w:r/>
      <w:bookmarkStart w:id="197" w:name="_Toc259093687"/>
      <w:r/>
      <w:bookmarkStart w:id="198" w:name="_Toc7102"/>
      <w:r/>
      <w:bookmarkStart w:id="199" w:name="_Toc8298"/>
      <w:r/>
      <w:bookmarkStart w:id="200" w:name="_Toc279701258"/>
      <w:r/>
      <w:bookmarkStart w:id="201" w:name="_Toc16959"/>
      <w:r>
        <w:rPr>
          <w:rFonts w:hint="eastAsia" w:cs="宋体" w:asciiTheme="minorEastAsia" w:hAnsiTheme="minorEastAsia" w:eastAsiaTheme="minorEastAsia"/>
          <w:b/>
          <w:color w:val="auto"/>
          <w:sz w:val="24"/>
          <w:highlight w:val="none"/>
        </w:rPr>
        <w:t xml:space="preserve">2.14乙方破产</w:t>
      </w:r>
      <w:bookmarkEnd w:id="196"/>
      <w:r/>
      <w:bookmarkEnd w:id="197"/>
      <w:r/>
      <w:bookmarkEnd w:id="198"/>
      <w:r/>
      <w:bookmarkEnd w:id="199"/>
      <w:r/>
      <w:bookmarkEnd w:id="200"/>
      <w:r/>
      <w:bookmarkEnd w:id="201"/>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cs="宋体" w:asciiTheme="minorEastAsia" w:hAnsiTheme="minorEastAsia" w:eastAsiaTheme="minorEastAsia"/>
          <w:b/>
          <w:color w:val="auto"/>
          <w:sz w:val="24"/>
          <w:highlight w:val="none"/>
        </w:rPr>
        <w:outlineLvl w:val="0"/>
      </w:pPr>
      <w:r/>
      <w:bookmarkStart w:id="202" w:name="_Toc15387"/>
      <w:r/>
      <w:bookmarkStart w:id="203" w:name="_Toc6134"/>
      <w:r/>
      <w:bookmarkStart w:id="204" w:name="_Toc29333"/>
      <w:r>
        <w:rPr>
          <w:rFonts w:hint="eastAsia" w:cs="宋体" w:asciiTheme="minorEastAsia" w:hAnsiTheme="minorEastAsia" w:eastAsiaTheme="minorEastAsia"/>
          <w:b/>
          <w:color w:val="auto"/>
          <w:sz w:val="24"/>
          <w:highlight w:val="none"/>
        </w:rPr>
        <w:t xml:space="preserve">2.15 合同中止、终止</w:t>
      </w:r>
      <w:bookmarkEnd w:id="202"/>
      <w:r/>
      <w:bookmarkEnd w:id="203"/>
      <w:r/>
      <w:bookmarkEnd w:id="204"/>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2.15.1 双方当事人不得擅自中止或者终止合同；</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cs="宋体" w:asciiTheme="minorEastAsia" w:hAnsiTheme="minorEastAsia" w:eastAsiaTheme="minorEastAsia"/>
          <w:b/>
          <w:color w:val="auto"/>
          <w:sz w:val="24"/>
          <w:highlight w:val="none"/>
        </w:rPr>
        <w:outlineLvl w:val="0"/>
      </w:pPr>
      <w:r/>
      <w:bookmarkStart w:id="205" w:name="_Toc6596"/>
      <w:r/>
      <w:bookmarkStart w:id="206" w:name="_Toc14563"/>
      <w:r/>
      <w:bookmarkStart w:id="207" w:name="_Toc1125"/>
      <w:r>
        <w:rPr>
          <w:rFonts w:hint="eastAsia" w:cs="宋体" w:asciiTheme="minorEastAsia" w:hAnsiTheme="minorEastAsia" w:eastAsiaTheme="minorEastAsia"/>
          <w:b/>
          <w:color w:val="auto"/>
          <w:sz w:val="24"/>
          <w:highlight w:val="none"/>
        </w:rPr>
        <w:t xml:space="preserve">2.16检验和验收</w:t>
      </w:r>
      <w:bookmarkEnd w:id="205"/>
      <w:r/>
      <w:bookmarkEnd w:id="206"/>
      <w:r/>
      <w:bookmarkEnd w:id="207"/>
      <w:r/>
      <w:r/>
    </w:p>
    <w:p>
      <w:pPr>
        <w:ind w:firstLine="480"/>
        <w:spacing w:line="360" w:lineRule="auto"/>
        <w:tabs>
          <w:tab w:val="left" w:pos="360" w:leader="none"/>
          <w:tab w:val="left" w:pos="540" w:leader="none"/>
          <w:tab w:val="left" w:pos="1080" w:leader="none"/>
        </w:tabs>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.16.1</w:t>
      </w:r>
      <w:r>
        <w:rPr>
          <w:rFonts w:hint="eastAsia" w:cs="宋体" w:asciiTheme="minorEastAsia" w:hAnsiTheme="minorEastAsia" w:eastAsiaTheme="minorEastAsia"/>
          <w:b/>
          <w:iCs/>
          <w:color w:val="auto"/>
          <w:sz w:val="24"/>
          <w:highlight w:val="none"/>
          <w:u w:val="single"/>
        </w:rPr>
        <w:t xml:space="preserve">（</w:t>
      </w:r>
      <w:r>
        <w:rPr>
          <w:rFonts w:hint="eastAsia" w:cs="宋体" w:asciiTheme="minorEastAsia" w:hAnsiTheme="minorEastAsia" w:eastAsiaTheme="minorEastAsia"/>
          <w:b/>
          <w:i/>
          <w:color w:val="auto"/>
          <w:sz w:val="24"/>
          <w:highlight w:val="none"/>
          <w:u w:val="single"/>
        </w:rPr>
        <w:t xml:space="preserve">提醒：必须填写</w:t>
      </w:r>
      <w:r>
        <w:rPr>
          <w:rFonts w:hint="eastAsia" w:cs="宋体" w:asciiTheme="minorEastAsia" w:hAnsiTheme="minorEastAsia" w:eastAsiaTheme="minorEastAsia"/>
          <w:b/>
          <w:iCs/>
          <w:color w:val="auto"/>
          <w:sz w:val="24"/>
          <w:highlight w:val="none"/>
          <w:u w:val="single"/>
        </w:rPr>
        <w:t xml:space="preserve">）</w:t>
      </w:r>
      <w:r>
        <w:rPr>
          <w:rFonts w:hint="eastAsia" w:cs="宋体" w:asciiTheme="minorEastAsia" w:hAnsiTheme="minorEastAsia" w:eastAsiaTheme="minorEastAsia"/>
          <w:color w:val="auto"/>
          <w:sz w:val="24"/>
          <w:highlight w:val="none"/>
        </w:rPr>
        <w:t xml:space="preserve">约定时间内组织验收。</w:t>
      </w:r>
      <w:r/>
    </w:p>
    <w:p>
      <w:pPr>
        <w:ind w:firstLine="480"/>
        <w:spacing w:line="48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甲</w:t>
      </w:r>
      <w:r>
        <w:rPr>
          <w:rFonts w:hint="eastAsia" w:cs="宋体" w:asciiTheme="minorEastAsia" w:hAnsiTheme="minorEastAsia" w:eastAsiaTheme="minorEastAsia"/>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cs="宋体" w:asciiTheme="minorEastAsia" w:hAnsiTheme="minorEastAsia" w:eastAsiaTheme="minorEastAsia"/>
          <w:iCs/>
          <w:color w:val="auto"/>
          <w:sz w:val="24"/>
          <w:highlight w:val="none"/>
        </w:rPr>
      </w:pPr>
      <w:r>
        <w:rPr>
          <w:rFonts w:hint="eastAsia" w:cs="宋体" w:asciiTheme="minorEastAsia" w:hAnsiTheme="minorEastAsia" w:eastAsiaTheme="minorEastAsia"/>
          <w:color w:val="auto"/>
          <w:sz w:val="24"/>
          <w:highlight w:val="none"/>
        </w:rPr>
        <w:t xml:space="preserve">2.16.3 检验和验收标准、程序等具体内容以及前述验收书的效力详见</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.16.3</w:t>
      </w:r>
      <w:r>
        <w:rPr>
          <w:rFonts w:hint="eastAsia" w:cs="宋体" w:asciiTheme="minorEastAsia" w:hAnsiTheme="minorEastAsia" w:eastAsiaTheme="minorEastAsia"/>
          <w:i/>
          <w:color w:val="auto"/>
          <w:sz w:val="24"/>
          <w:highlight w:val="none"/>
        </w:rPr>
        <w:t xml:space="preserve">（提醒：必须填写）</w:t>
      </w:r>
      <w:r>
        <w:rPr>
          <w:rFonts w:hint="eastAsia" w:cs="宋体" w:asciiTheme="minorEastAsia" w:hAnsiTheme="minorEastAsia" w:eastAsiaTheme="minorEastAsia"/>
          <w:iCs/>
          <w:color w:val="auto"/>
          <w:sz w:val="24"/>
          <w:highlight w:val="none"/>
        </w:rPr>
        <w:t xml:space="preserve">。</w:t>
      </w:r>
      <w:bookmarkEnd w:id="177"/>
      <w:r/>
      <w:bookmarkEnd w:id="178"/>
      <w:r/>
      <w:bookmarkEnd w:id="179"/>
      <w:r/>
      <w:bookmarkEnd w:id="180"/>
      <w:r/>
      <w:r/>
    </w:p>
    <w:p>
      <w:pPr>
        <w:ind w:firstLine="482"/>
        <w:spacing w:line="560" w:lineRule="exact"/>
        <w:rPr>
          <w:rFonts w:cs="宋体" w:asciiTheme="minorEastAsia" w:hAnsiTheme="minorEastAsia" w:eastAsiaTheme="minorEastAsia"/>
          <w:b/>
          <w:color w:val="auto"/>
          <w:sz w:val="24"/>
          <w:highlight w:val="none"/>
        </w:rPr>
        <w:outlineLvl w:val="0"/>
      </w:pPr>
      <w:r/>
      <w:bookmarkStart w:id="208" w:name="_Toc487900371"/>
      <w:r/>
      <w:bookmarkStart w:id="209" w:name="_Toc259093690"/>
      <w:r/>
      <w:bookmarkStart w:id="210" w:name="_Toc279701261"/>
      <w:r/>
      <w:bookmarkStart w:id="211" w:name="_Toc25182"/>
      <w:r/>
      <w:bookmarkStart w:id="212" w:name="_Toc11284"/>
      <w:r/>
      <w:bookmarkStart w:id="213" w:name="_Toc19604"/>
      <w:r>
        <w:rPr>
          <w:rFonts w:hint="eastAsia" w:cs="宋体" w:asciiTheme="minorEastAsia" w:hAnsiTheme="minorEastAsia" w:eastAsiaTheme="minorEastAsia"/>
          <w:b/>
          <w:color w:val="auto"/>
          <w:sz w:val="24"/>
          <w:highlight w:val="none"/>
        </w:rPr>
        <w:t xml:space="preserve">2.17 通知</w:t>
      </w:r>
      <w:bookmarkEnd w:id="208"/>
      <w:r/>
      <w:bookmarkEnd w:id="209"/>
      <w:r/>
      <w:bookmarkEnd w:id="210"/>
      <w:r>
        <w:rPr>
          <w:rFonts w:hint="eastAsia" w:cs="宋体" w:asciiTheme="minorEastAsia" w:hAnsiTheme="minorEastAsia" w:eastAsiaTheme="minorEastAsia"/>
          <w:b/>
          <w:color w:val="auto"/>
          <w:sz w:val="24"/>
          <w:highlight w:val="none"/>
        </w:rPr>
        <w:t xml:space="preserve">和送达</w:t>
      </w:r>
      <w:bookmarkEnd w:id="211"/>
      <w:r/>
      <w:bookmarkEnd w:id="212"/>
      <w:r/>
      <w:bookmarkEnd w:id="213"/>
      <w:r/>
      <w:r/>
    </w:p>
    <w:p>
      <w:pPr>
        <w:ind w:firstLine="480"/>
        <w:spacing w:line="560" w:lineRule="exact"/>
        <w:rPr>
          <w:rFonts w:cs="宋体" w:asciiTheme="minorEastAsia" w:hAnsiTheme="minorEastAsia" w:eastAsiaTheme="minorEastAsia"/>
          <w:color w:val="auto"/>
          <w:sz w:val="24"/>
          <w:highlight w:val="none"/>
        </w:rPr>
      </w:pPr>
      <w:r/>
      <w:bookmarkStart w:id="214" w:name="_Toc6698"/>
      <w:r/>
      <w:bookmarkStart w:id="215" w:name="_Toc3135"/>
      <w:r/>
      <w:bookmarkStart w:id="216" w:name="_Toc279701262"/>
      <w:r/>
      <w:bookmarkStart w:id="217" w:name="_Toc487900372"/>
      <w:r/>
      <w:bookmarkStart w:id="218" w:name="_Toc259093691"/>
      <w:r>
        <w:rPr>
          <w:rFonts w:hint="eastAsia" w:cs="宋体" w:asciiTheme="minorEastAsia" w:hAnsiTheme="minorEastAsia" w:eastAsiaTheme="minorEastAsia"/>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cs="宋体" w:asciiTheme="minorEastAsia" w:hAnsiTheme="minorEastAsia" w:eastAsiaTheme="minorEastAsia"/>
          <w:color w:val="auto"/>
          <w:sz w:val="24"/>
          <w:highlight w:val="none"/>
          <w:u w:val="single"/>
        </w:rPr>
        <w:t xml:space="preserve">3</w:t>
      </w:r>
      <w:r>
        <w:rPr>
          <w:rFonts w:hint="eastAsia" w:cs="宋体" w:asciiTheme="minorEastAsia" w:hAnsiTheme="minorEastAsia" w:eastAsiaTheme="minorEastAsia"/>
          <w:color w:val="auto"/>
          <w:sz w:val="24"/>
          <w:highlight w:val="none"/>
        </w:rPr>
        <w:t xml:space="preserve">个工作日内书面通知对方当事人，在对方当事人收到有关变更通知之前，变更前的约定送达方式或者地址仍视为有效。</w:t>
      </w:r>
      <w:bookmarkEnd w:id="214"/>
      <w:r/>
      <w:bookmarkEnd w:id="215"/>
      <w:r/>
      <w:r/>
    </w:p>
    <w:p>
      <w:pPr>
        <w:ind w:firstLine="480"/>
        <w:spacing w:line="560" w:lineRule="exact"/>
        <w:rPr>
          <w:rFonts w:cs="宋体" w:asciiTheme="minorEastAsia" w:hAnsiTheme="minorEastAsia" w:eastAsiaTheme="minorEastAsia"/>
          <w:color w:val="auto"/>
          <w:sz w:val="24"/>
          <w:highlight w:val="none"/>
        </w:rPr>
      </w:pPr>
      <w:r/>
      <w:bookmarkStart w:id="219" w:name="_Toc23128"/>
      <w:r/>
      <w:bookmarkStart w:id="220" w:name="_Toc23294"/>
      <w:r>
        <w:rPr>
          <w:rFonts w:hint="eastAsia" w:cs="宋体" w:asciiTheme="minorEastAsia" w:hAnsiTheme="minorEastAsia" w:eastAsiaTheme="minorEastAsia"/>
          <w:color w:val="auto"/>
          <w:sz w:val="24"/>
          <w:highlight w:val="none"/>
        </w:rPr>
        <w:t xml:space="preserve">2.17.2</w:t>
      </w:r>
      <w:bookmarkEnd w:id="219"/>
      <w:r/>
      <w:bookmarkEnd w:id="220"/>
      <w:r>
        <w:rPr>
          <w:rFonts w:hint="eastAsia" w:cs="宋体" w:asciiTheme="minorEastAsia" w:hAnsiTheme="minorEastAsia" w:eastAsiaTheme="minorEastAsia"/>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cs="宋体" w:asciiTheme="minorEastAsia" w:hAnsiTheme="minorEastAsia" w:eastAsiaTheme="minorEastAsia"/>
          <w:b/>
          <w:color w:val="auto"/>
          <w:sz w:val="24"/>
          <w:highlight w:val="none"/>
        </w:rPr>
        <w:outlineLvl w:val="0"/>
      </w:pPr>
      <w:r/>
      <w:bookmarkStart w:id="221" w:name="_Toc30599"/>
      <w:r/>
      <w:bookmarkStart w:id="222" w:name="_Toc4355"/>
      <w:r/>
      <w:bookmarkStart w:id="223" w:name="_Toc18540"/>
      <w:r>
        <w:rPr>
          <w:rFonts w:hint="eastAsia" w:cs="宋体" w:asciiTheme="minorEastAsia" w:hAnsiTheme="minorEastAsia" w:eastAsiaTheme="minorEastAsia"/>
          <w:b/>
          <w:color w:val="auto"/>
          <w:sz w:val="24"/>
          <w:highlight w:val="none"/>
        </w:rPr>
        <w:t xml:space="preserve">2.18 计量单位</w:t>
      </w:r>
      <w:bookmarkEnd w:id="216"/>
      <w:r/>
      <w:bookmarkEnd w:id="217"/>
      <w:r/>
      <w:bookmarkEnd w:id="218"/>
      <w:r/>
      <w:bookmarkEnd w:id="221"/>
      <w:r/>
      <w:bookmarkEnd w:id="222"/>
      <w:r/>
      <w:bookmarkEnd w:id="223"/>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除技术规范中另有规定外,合同的计量单位均使用国家法定计量单位。</w:t>
      </w:r>
      <w:r/>
    </w:p>
    <w:p>
      <w:pPr>
        <w:ind w:firstLine="482"/>
        <w:spacing w:line="560" w:lineRule="exact"/>
        <w:rPr>
          <w:rFonts w:cs="宋体" w:asciiTheme="minorEastAsia" w:hAnsiTheme="minorEastAsia" w:eastAsiaTheme="minorEastAsia"/>
          <w:b/>
          <w:color w:val="auto"/>
          <w:sz w:val="24"/>
          <w:highlight w:val="none"/>
        </w:rPr>
        <w:outlineLvl w:val="0"/>
      </w:pPr>
      <w:r/>
      <w:bookmarkStart w:id="224" w:name="_Toc259093692"/>
      <w:r/>
      <w:bookmarkStart w:id="225" w:name="_Toc18567"/>
      <w:r/>
      <w:bookmarkStart w:id="226" w:name="_Toc10330"/>
      <w:r/>
      <w:bookmarkStart w:id="227" w:name="_Toc12773"/>
      <w:r/>
      <w:bookmarkStart w:id="228" w:name="_Toc279701263"/>
      <w:r/>
      <w:bookmarkStart w:id="229" w:name="_Toc487900373"/>
      <w:r>
        <w:rPr>
          <w:rFonts w:hint="eastAsia" w:cs="宋体" w:asciiTheme="minorEastAsia" w:hAnsiTheme="minorEastAsia" w:eastAsiaTheme="minorEastAsia"/>
          <w:b/>
          <w:color w:val="auto"/>
          <w:sz w:val="24"/>
          <w:highlight w:val="none"/>
        </w:rPr>
        <w:t xml:space="preserve">2.19 合同使用的文字和适用的法律</w:t>
      </w:r>
      <w:bookmarkEnd w:id="224"/>
      <w:r/>
      <w:bookmarkEnd w:id="225"/>
      <w:r/>
      <w:bookmarkEnd w:id="226"/>
      <w:r/>
      <w:bookmarkEnd w:id="227"/>
      <w:r/>
      <w:bookmarkEnd w:id="228"/>
      <w:r/>
      <w:bookmarkEnd w:id="229"/>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2.19.1 合同使用汉语书就、变更和解释；</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2.19.2 合同适用中华人民共和国法律。</w:t>
      </w:r>
      <w:r/>
    </w:p>
    <w:p>
      <w:pPr>
        <w:ind w:firstLine="482"/>
        <w:spacing w:line="560" w:lineRule="exact"/>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w:t>
      </w:r>
      <w:r>
        <w:rPr>
          <w:rFonts w:cs="宋体" w:asciiTheme="minorEastAsia" w:hAnsiTheme="minorEastAsia" w:eastAsiaTheme="minorEastAsia"/>
          <w:b/>
          <w:bCs/>
          <w:color w:val="auto"/>
          <w:sz w:val="24"/>
          <w:highlight w:val="none"/>
        </w:rPr>
        <w:t xml:space="preserve">.20</w:t>
      </w:r>
      <w:r>
        <w:rPr>
          <w:rFonts w:hint="eastAsia" w:cs="宋体" w:asciiTheme="minorEastAsia" w:hAnsiTheme="minorEastAsia" w:eastAsiaTheme="minorEastAsia"/>
          <w:b/>
          <w:bCs/>
          <w:color w:val="auto"/>
          <w:sz w:val="24"/>
          <w:highlight w:val="none"/>
        </w:rPr>
        <w:t xml:space="preserve">政府采购信用融资</w:t>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乙方在签订政府采购合同时如遇到资金困难，甲方应当按照</w:t>
      </w:r>
      <w:r>
        <w:rPr>
          <w:rFonts w:hint="eastAsia" w:cs="楷体" w:asciiTheme="minorEastAsia" w:hAnsiTheme="minorEastAsia" w:eastAsiaTheme="minorEastAsia"/>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cs="宋体" w:asciiTheme="minorEastAsia" w:hAnsiTheme="minorEastAsia" w:eastAsiaTheme="minorEastAsia"/>
          <w:b/>
          <w:color w:val="auto"/>
          <w:sz w:val="24"/>
          <w:highlight w:val="none"/>
        </w:rPr>
        <w:outlineLvl w:val="0"/>
      </w:pPr>
      <w:r/>
      <w:bookmarkStart w:id="230" w:name="_Toc6885"/>
      <w:r/>
      <w:bookmarkStart w:id="231" w:name="_Toc19890"/>
      <w:r/>
      <w:bookmarkStart w:id="232" w:name="_Toc14001"/>
      <w:r>
        <w:rPr>
          <w:rFonts w:hint="eastAsia" w:cs="宋体" w:asciiTheme="minorEastAsia" w:hAnsiTheme="minorEastAsia" w:eastAsiaTheme="minorEastAsia"/>
          <w:b/>
          <w:color w:val="auto"/>
          <w:sz w:val="24"/>
          <w:highlight w:val="none"/>
        </w:rPr>
        <w:t xml:space="preserve">2.2</w:t>
      </w:r>
      <w:r>
        <w:rPr>
          <w:rFonts w:cs="宋体" w:asciiTheme="minorEastAsia" w:hAnsiTheme="minorEastAsia" w:eastAsiaTheme="minorEastAsia"/>
          <w:b/>
          <w:color w:val="auto"/>
          <w:sz w:val="24"/>
          <w:highlight w:val="none"/>
        </w:rPr>
        <w:t xml:space="preserve">1</w:t>
      </w:r>
      <w:r>
        <w:rPr>
          <w:rFonts w:hint="eastAsia" w:cs="宋体" w:asciiTheme="minorEastAsia" w:hAnsiTheme="minorEastAsia" w:eastAsiaTheme="minorEastAsia"/>
          <w:b/>
          <w:color w:val="auto"/>
          <w:sz w:val="24"/>
          <w:highlight w:val="none"/>
        </w:rPr>
        <w:t xml:space="preserve"> 合同份数</w:t>
      </w:r>
      <w:bookmarkEnd w:id="230"/>
      <w:r/>
      <w:bookmarkEnd w:id="231"/>
      <w:r/>
      <w:bookmarkEnd w:id="232"/>
      <w:r/>
      <w:r/>
    </w:p>
    <w:p>
      <w:pPr>
        <w:ind w:firstLine="480"/>
        <w:spacing w:line="56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合同份数按</w:t>
      </w:r>
      <w:r>
        <w:rPr>
          <w:rFonts w:hint="eastAsia" w:cs="宋体" w:asciiTheme="minorEastAsia" w:hAnsiTheme="minorEastAsia" w:eastAsiaTheme="minorEastAsia"/>
          <w:b/>
          <w:iCs/>
          <w:color w:val="auto"/>
          <w:sz w:val="24"/>
          <w:highlight w:val="none"/>
          <w:u w:val="single"/>
        </w:rPr>
        <w:t xml:space="preserve">合同专用条款2</w:t>
      </w:r>
      <w:r>
        <w:rPr>
          <w:rFonts w:cs="宋体" w:asciiTheme="minorEastAsia" w:hAnsiTheme="minorEastAsia" w:eastAsiaTheme="minorEastAsia"/>
          <w:b/>
          <w:iCs/>
          <w:color w:val="auto"/>
          <w:sz w:val="24"/>
          <w:highlight w:val="none"/>
          <w:u w:val="single"/>
        </w:rPr>
        <w:t xml:space="preserve">.2</w:t>
      </w:r>
      <w:r>
        <w:rPr>
          <w:rFonts w:hint="eastAsia" w:cs="宋体" w:asciiTheme="minorEastAsia" w:hAnsiTheme="minorEastAsia" w:eastAsiaTheme="minorEastAsia"/>
          <w:b/>
          <w:iCs/>
          <w:color w:val="auto"/>
          <w:sz w:val="24"/>
          <w:highlight w:val="none"/>
          <w:u w:val="single"/>
        </w:rPr>
        <w:t xml:space="preserve">1</w:t>
      </w:r>
      <w:r>
        <w:rPr>
          <w:rFonts w:hint="eastAsia" w:cs="宋体" w:asciiTheme="minorEastAsia" w:hAnsiTheme="minorEastAsia" w:eastAsiaTheme="minorEastAsia"/>
          <w:color w:val="auto"/>
          <w:sz w:val="24"/>
          <w:highlight w:val="none"/>
        </w:rPr>
        <w:t xml:space="preserve">规定，每份均具有同等法律效力。</w:t>
      </w:r>
      <w:r/>
    </w:p>
    <w:p>
      <w:pPr>
        <w:ind w:firstLine="2514"/>
        <w:spacing w:line="360" w:lineRule="auto"/>
        <w:rPr>
          <w:rFonts w:cs="宋体" w:asciiTheme="minorEastAsia" w:hAnsiTheme="minorEastAsia" w:eastAsiaTheme="minorEastAsia"/>
          <w:b/>
          <w:color w:val="auto"/>
          <w:sz w:val="28"/>
          <w:szCs w:val="28"/>
          <w:highlight w:val="none"/>
        </w:rPr>
        <w:outlineLvl w:val="0"/>
      </w:pPr>
      <w:r>
        <w:rPr>
          <w:rFonts w:hint="eastAsia" w:cs="宋体" w:asciiTheme="minorEastAsia" w:hAnsiTheme="minorEastAsia" w:eastAsiaTheme="minorEastAsia"/>
          <w:color w:val="auto"/>
          <w:highlight w:val="none"/>
        </w:rPr>
        <w:br w:type="page" w:clear="all"/>
      </w:r>
      <w:r>
        <w:rPr>
          <w:rFonts w:hint="eastAsia" w:cs="宋体" w:asciiTheme="minorEastAsia" w:hAnsiTheme="minorEastAsia" w:eastAsiaTheme="minorEastAsia"/>
          <w:b/>
          <w:color w:val="auto"/>
          <w:sz w:val="28"/>
          <w:szCs w:val="28"/>
          <w:highlight w:val="none"/>
        </w:rPr>
        <w:t xml:space="preserve">第三部分 合同专用条款</w:t>
      </w:r>
      <w:r/>
    </w:p>
    <w:p>
      <w:pPr>
        <w:ind w:left="-420" w:right="-420" w:firstLine="480"/>
        <w:spacing w:line="560" w:lineRule="exac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 xml:space="preserve">本</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是对前两</w:t>
      </w:r>
      <w:bookmarkStart w:id="233" w:name="_Hlk136502841"/>
      <w:r>
        <w:rPr>
          <w:rFonts w:hint="eastAsia" w:cs="宋体" w:asciiTheme="minorEastAsia" w:hAnsiTheme="minorEastAsia" w:eastAsiaTheme="minorEastAsia"/>
          <w:bCs/>
          <w:color w:val="auto"/>
          <w:highlight w:val="none"/>
        </w:rPr>
        <w:t xml:space="preserve">部分</w:t>
      </w:r>
      <w:bookmarkEnd w:id="233"/>
      <w:r>
        <w:rPr>
          <w:rFonts w:hint="eastAsia" w:cs="宋体" w:asciiTheme="minorEastAsia" w:hAnsiTheme="minorEastAsia" w:eastAsiaTheme="minorEastAsia"/>
          <w:color w:val="auto"/>
          <w:sz w:val="24"/>
          <w:highlight w:val="none"/>
        </w:rPr>
        <w:t xml:space="preserve">的补充和修改，如果前两</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和本</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的约定不一致，应以本</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的约定为准。本</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的条款号应与前两</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的条款号保持对应；与前两</w:t>
      </w:r>
      <w:r>
        <w:rPr>
          <w:rFonts w:hint="eastAsia" w:cs="宋体" w:asciiTheme="minorEastAsia" w:hAnsiTheme="minorEastAsia" w:eastAsiaTheme="minorEastAsia"/>
          <w:bCs/>
          <w:color w:val="auto"/>
          <w:highlight w:val="none"/>
        </w:rPr>
        <w:t xml:space="preserve">部分</w:t>
      </w:r>
      <w:r>
        <w:rPr>
          <w:rFonts w:hint="eastAsia" w:cs="宋体" w:asciiTheme="minorEastAsia" w:hAnsiTheme="minorEastAsia" w:eastAsiaTheme="minorEastAsia"/>
          <w:color w:val="auto"/>
          <w:sz w:val="24"/>
          <w:highlight w:val="none"/>
        </w:rPr>
        <w:t xml:space="preserve">无对应关系的内容可另行编制条款号。</w:t>
      </w:r>
      <w:r/>
    </w:p>
    <w:tbl>
      <w:tblPr>
        <w:tblStyle w:val="764"/>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446"/>
        <w:gridCol w:w="8023"/>
      </w:tblGrid>
      <w:tr>
        <w:trPr>
          <w:trHeight w:val="391"/>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lang w:eastAsia="en-US"/>
              </w:rPr>
              <w:t xml:space="preserve">条款号</w:t>
            </w:r>
            <w:r/>
          </w:p>
        </w:tc>
        <w:tc>
          <w:tcPr>
            <w:tcW w:w="8023" w:type="dxa"/>
            <w:vAlign w:val="center"/>
            <w:textDirection w:val="lrTb"/>
            <w:noWrap/>
          </w:tcPr>
          <w:p>
            <w:pPr>
              <w:jc w:val="cente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lang w:eastAsia="en-US"/>
              </w:rPr>
              <w:t xml:space="preserve">约定内容</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4</w:t>
            </w:r>
            <w:r>
              <w:rPr>
                <w:rFonts w:hint="eastAsia" w:cs="宋体" w:asciiTheme="minorEastAsia" w:hAnsiTheme="minorEastAsia" w:eastAsiaTheme="minorEastAsia"/>
                <w:color w:val="auto"/>
                <w:sz w:val="24"/>
                <w:highlight w:val="none"/>
                <w:lang w:eastAsia="en-US"/>
              </w:rPr>
              <w:t xml:space="preserve">.2</w:t>
            </w:r>
            <w:r/>
          </w:p>
        </w:tc>
        <w:tc>
          <w:tcPr>
            <w:tcW w:w="8023" w:type="dxa"/>
            <w:vAlign w:val="center"/>
            <w:textDirection w:val="lrTb"/>
            <w:noWrap/>
          </w:tcPr>
          <w:p>
            <w:pPr>
              <w:ind w:left="120"/>
              <w:spacing w:line="360" w:lineRule="auto"/>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总价合同。</w:t>
            </w:r>
            <w:r>
              <w:rPr>
                <w:rFonts w:hint="eastAsia" w:cs="宋体" w:asciiTheme="minorEastAsia" w:hAnsiTheme="minorEastAsia" w:eastAsiaTheme="minorEastAsia"/>
                <w:color w:val="auto"/>
                <w:sz w:val="24"/>
                <w:highlight w:val="none"/>
              </w:rPr>
              <w:t xml:space="preserve">本合同总价（含税）为：￥</w:t>
            </w:r>
            <w:r>
              <w:rPr>
                <w:rFonts w:hint="eastAsia"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元（大写：</w:t>
            </w:r>
            <w:r>
              <w:rPr>
                <w:rFonts w:hint="eastAsia"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元人民币）。</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5</w:t>
            </w:r>
            <w:r>
              <w:rPr>
                <w:rFonts w:hint="eastAsia" w:cs="宋体" w:asciiTheme="minorEastAsia" w:hAnsiTheme="minorEastAsia" w:eastAsiaTheme="minorEastAsia"/>
                <w:color w:val="auto"/>
                <w:sz w:val="24"/>
                <w:highlight w:val="none"/>
                <w:lang w:eastAsia="en-US"/>
              </w:rPr>
              <w:t xml:space="preserve">.</w:t>
            </w:r>
            <w:r>
              <w:rPr>
                <w:rFonts w:cs="宋体" w:asciiTheme="minorEastAsia" w:hAnsiTheme="minorEastAsia" w:eastAsiaTheme="minorEastAsia"/>
                <w:color w:val="auto"/>
                <w:sz w:val="24"/>
                <w:highlight w:val="none"/>
                <w:lang w:eastAsia="en-US"/>
              </w:rPr>
              <w:t xml:space="preserve">2</w:t>
            </w:r>
            <w:r/>
          </w:p>
        </w:tc>
        <w:tc>
          <w:tcPr>
            <w:tcW w:w="8023" w:type="dxa"/>
            <w:vAlign w:val="center"/>
            <w:textDirection w:val="lrTb"/>
            <w:noWrap/>
          </w:tcPr>
          <w:p>
            <w:pPr>
              <w:jc w:val="center"/>
              <w:spacing w:line="360" w:lineRule="auto"/>
              <w:rPr>
                <w:rFonts w:hint="eastAsia" w:cs="宋体"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6</w:t>
            </w:r>
            <w:r>
              <w:rPr>
                <w:rFonts w:hint="eastAsia" w:cs="宋体" w:asciiTheme="minorEastAsia" w:hAnsiTheme="minorEastAsia" w:eastAsiaTheme="minorEastAsia"/>
                <w:color w:val="auto"/>
                <w:sz w:val="24"/>
                <w:highlight w:val="none"/>
                <w:lang w:eastAsia="en-US"/>
              </w:rPr>
              <w:t xml:space="preserve">.</w:t>
            </w:r>
            <w:r>
              <w:rPr>
                <w:rFonts w:cs="宋体" w:asciiTheme="minorEastAsia" w:hAnsiTheme="minorEastAsia" w:eastAsiaTheme="minorEastAsia"/>
                <w:color w:val="auto"/>
                <w:sz w:val="24"/>
                <w:highlight w:val="none"/>
                <w:lang w:eastAsia="en-US"/>
              </w:rPr>
              <w:t xml:space="preserve">1</w:t>
            </w:r>
            <w:r/>
          </w:p>
        </w:tc>
        <w:tc>
          <w:tcPr>
            <w:tcW w:w="8023" w:type="dxa"/>
            <w:vAlign w:val="center"/>
            <w:textDirection w:val="lrTb"/>
            <w:noWrap/>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□经双方协商乙方自愿放弃预付款。</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合同签订后，甲方支付合同金额的30%作为预付款.</w:t>
            </w:r>
            <w:r/>
          </w:p>
          <w:p>
            <w:pPr>
              <w:spacing w:line="360" w:lineRule="auto"/>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注:</w:t>
            </w:r>
            <w:r>
              <w:rPr>
                <w:rFonts w:hint="eastAsia" w:asciiTheme="minorEastAsia" w:hAnsiTheme="minorEastAsia" w:eastAsiaTheme="minorEastAsia"/>
                <w:color w:val="auto"/>
                <w:sz w:val="24"/>
                <w:highlight w:val="none"/>
              </w:rPr>
              <w:t xml:space="preserve">满足合同约定支付条件的，采购人收到供应商发票后10个工作日内，将资金支付到合同约定的供应商账户。采购人向中标供应商每次付款时，中标供应商需提供国家正规等额发票</w:t>
            </w:r>
            <w:r>
              <w:rPr>
                <w:rFonts w:hint="eastAsia" w:ascii="宋体" w:hAnsi="宋体" w:eastAsia="宋体" w:cs="宋体"/>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7</w:t>
            </w:r>
            <w:r>
              <w:rPr>
                <w:rFonts w:hint="eastAsia" w:cs="宋体" w:asciiTheme="minorEastAsia" w:hAnsiTheme="minorEastAsia" w:eastAsiaTheme="minorEastAsia"/>
                <w:color w:val="auto"/>
                <w:sz w:val="24"/>
                <w:highlight w:val="none"/>
                <w:lang w:eastAsia="en-US"/>
              </w:rPr>
              <w:t xml:space="preserve">.</w:t>
            </w:r>
            <w:r>
              <w:rPr>
                <w:rFonts w:cs="宋体" w:asciiTheme="minorEastAsia" w:hAnsiTheme="minorEastAsia" w:eastAsiaTheme="minorEastAsia"/>
                <w:color w:val="auto"/>
                <w:sz w:val="24"/>
                <w:highlight w:val="none"/>
                <w:lang w:eastAsia="en-US"/>
              </w:rPr>
              <w:t xml:space="preserve">2</w:t>
            </w:r>
            <w:r/>
          </w:p>
        </w:tc>
        <w:tc>
          <w:tcPr>
            <w:tcW w:w="8023" w:type="dxa"/>
            <w:vAlign w:val="center"/>
            <w:textDirection w:val="lrTb"/>
            <w:noWrap/>
          </w:tcPr>
          <w:p>
            <w:pPr>
              <w:spacing w:line="360" w:lineRule="auto"/>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货物进场后，甲方付款至合同总价80%，经甲方组织验收合格后，一周内支付剩余20%款项。</w:t>
            </w:r>
            <w:r/>
          </w:p>
          <w:p>
            <w:pPr>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注：满足合同约定支付条件的，采购人收到供应商发票后10个工作日内，将资金支付到合同约定的供应商账户。采购人向中标供应商每次付款时，中标供应商需提供国家正规等额发票。</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8</w:t>
            </w:r>
            <w:r>
              <w:rPr>
                <w:rFonts w:hint="eastAsia" w:cs="宋体" w:asciiTheme="minorEastAsia" w:hAnsiTheme="minorEastAsia" w:eastAsiaTheme="minorEastAsia"/>
                <w:color w:val="auto"/>
                <w:sz w:val="24"/>
                <w:highlight w:val="none"/>
                <w:lang w:eastAsia="en-US"/>
              </w:rPr>
              <w:t xml:space="preserve">.1</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合同签订后20天内完成供货及安装。</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8</w:t>
            </w:r>
            <w:r>
              <w:rPr>
                <w:rFonts w:hint="eastAsia" w:cs="宋体" w:asciiTheme="minorEastAsia" w:hAnsiTheme="minorEastAsia" w:eastAsiaTheme="minorEastAsia"/>
                <w:color w:val="auto"/>
                <w:sz w:val="24"/>
                <w:highlight w:val="none"/>
                <w:lang w:eastAsia="en-US"/>
              </w:rPr>
              <w:t xml:space="preserve">.2</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乙方</w:t>
            </w:r>
            <w:r>
              <w:rPr>
                <w:rFonts w:hint="eastAsia" w:cs="宋体" w:asciiTheme="minorEastAsia" w:hAnsiTheme="minorEastAsia" w:eastAsiaTheme="minorEastAsia"/>
                <w:color w:val="auto"/>
                <w:sz w:val="24"/>
                <w:highlight w:val="none"/>
              </w:rPr>
              <w:t xml:space="preserve">必须按采购人要求将本项目中货物送到指定地点，并分地实施安装调试。</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8</w:t>
            </w:r>
            <w:r>
              <w:rPr>
                <w:rFonts w:hint="eastAsia" w:cs="宋体" w:asciiTheme="minorEastAsia" w:hAnsiTheme="minorEastAsia" w:eastAsiaTheme="minorEastAsia"/>
                <w:color w:val="auto"/>
                <w:sz w:val="24"/>
                <w:highlight w:val="none"/>
                <w:lang w:eastAsia="en-US"/>
              </w:rPr>
              <w:t xml:space="preserve">.3</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现场安装交付。</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1.</w:t>
            </w:r>
            <w:r>
              <w:rPr>
                <w:rFonts w:cs="宋体" w:asciiTheme="minorEastAsia" w:hAnsiTheme="minorEastAsia" w:eastAsiaTheme="minorEastAsia"/>
                <w:color w:val="auto"/>
                <w:sz w:val="24"/>
                <w:highlight w:val="none"/>
                <w:lang w:eastAsia="en-US"/>
              </w:rPr>
              <w:t xml:space="preserve">9</w:t>
            </w:r>
            <w:r>
              <w:rPr>
                <w:rFonts w:hint="eastAsia" w:cs="宋体" w:asciiTheme="minorEastAsia" w:hAnsiTheme="minorEastAsia" w:eastAsiaTheme="minorEastAsia"/>
                <w:color w:val="auto"/>
                <w:sz w:val="24"/>
                <w:highlight w:val="none"/>
                <w:lang w:eastAsia="en-US"/>
              </w:rPr>
              <w:t xml:space="preserve">.6</w:t>
            </w:r>
            <w:r/>
          </w:p>
        </w:tc>
        <w:tc>
          <w:tcPr>
            <w:tcW w:w="8023" w:type="dxa"/>
            <w:vAlign w:val="center"/>
            <w:textDirection w:val="lrTb"/>
            <w:noWrap/>
          </w:tcPr>
          <w:p>
            <w:pPr>
              <w:jc w:val="center"/>
              <w:spacing w:line="360"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2.3.2</w:t>
            </w:r>
            <w:r/>
          </w:p>
        </w:tc>
        <w:tc>
          <w:tcPr>
            <w:tcW w:w="8023" w:type="dxa"/>
            <w:vAlign w:val="center"/>
            <w:textDirection w:val="lrTb"/>
            <w:noWrap/>
          </w:tcPr>
          <w:p>
            <w:pPr>
              <w:ind w:left="-420" w:right="-420"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归</w:t>
            </w:r>
            <w:r>
              <w:rPr>
                <w:rFonts w:hint="eastAsia" w:cs="宋体" w:asciiTheme="minorEastAsia" w:hAnsiTheme="minorEastAsia" w:eastAsiaTheme="minorEastAsia"/>
                <w:color w:val="auto"/>
                <w:sz w:val="24"/>
                <w:highlight w:val="none"/>
                <w:lang w:val="en-US" w:eastAsia="zh-CN"/>
              </w:rPr>
              <w:t xml:space="preserve">甲方</w:t>
            </w:r>
            <w:r>
              <w:rPr>
                <w:rFonts w:hint="eastAsia" w:cs="宋体" w:asciiTheme="minorEastAsia" w:hAnsiTheme="minorEastAsia" w:eastAsiaTheme="minorEastAsia"/>
                <w:color w:val="auto"/>
                <w:sz w:val="24"/>
                <w:highlight w:val="none"/>
              </w:rPr>
              <w:t xml:space="preserve">所有。</w:t>
            </w:r>
            <w:r/>
          </w:p>
        </w:tc>
      </w:tr>
      <w:tr>
        <w:trPr>
          <w:trHeight w:val="424"/>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2.4.1</w:t>
            </w:r>
            <w:r/>
          </w:p>
        </w:tc>
        <w:tc>
          <w:tcPr>
            <w:tcW w:w="8023" w:type="dxa"/>
            <w:vAlign w:val="center"/>
            <w:textDirection w:val="lrTb"/>
            <w:noWrap/>
          </w:tcPr>
          <w:p>
            <w:pPr>
              <w:ind w:left="-420" w:right="-420" w:firstLine="480"/>
              <w:jc w:val="center"/>
              <w:spacing w:line="360"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2.4.3</w:t>
            </w:r>
            <w:r/>
          </w:p>
        </w:tc>
        <w:tc>
          <w:tcPr>
            <w:tcW w:w="8023" w:type="dxa"/>
            <w:vAlign w:val="center"/>
            <w:textDirection w:val="lrTb"/>
            <w:noWrap/>
          </w:tcPr>
          <w:p>
            <w:pPr>
              <w:jc w:val="center"/>
              <w:spacing w:line="360"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2.8</w:t>
            </w:r>
            <w:r/>
          </w:p>
        </w:tc>
        <w:tc>
          <w:tcPr>
            <w:tcW w:w="8023" w:type="dxa"/>
            <w:textDirection w:val="lrTb"/>
            <w:noWrap/>
          </w:tcPr>
          <w:p>
            <w:pPr>
              <w:jc w:val="center"/>
              <w:spacing w:line="360"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2.12.3</w:t>
            </w:r>
            <w:r/>
          </w:p>
        </w:tc>
        <w:tc>
          <w:tcPr>
            <w:tcW w:w="8023" w:type="dxa"/>
            <w:vAlign w:val="center"/>
            <w:textDirection w:val="lrTb"/>
            <w:noWrap/>
          </w:tcPr>
          <w:p>
            <w:pPr>
              <w:spacing w:line="360" w:lineRule="auto"/>
              <w:rPr>
                <w:rFonts w:asciiTheme="minorEastAsia" w:hAnsiTheme="minorEastAsia" w:eastAsiaTheme="minorEastAsia"/>
                <w:color w:val="auto"/>
                <w:sz w:val="24"/>
                <w:szCs w:val="22"/>
                <w:highlight w:val="none"/>
              </w:rPr>
            </w:pPr>
            <w:r>
              <w:rPr>
                <w:rFonts w:hint="eastAsia" w:ascii="宋体" w:hAnsi="宋体" w:eastAsia="宋体" w:cs="宋体"/>
                <w:color w:val="auto"/>
                <w:sz w:val="24"/>
                <w:highlight w:val="none"/>
              </w:rPr>
              <w:t xml:space="preserve">因不可抗力致使合同有变更必要的，双方当事人应在不可抗力事件发生之日起 </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个日历日内，就合同变更事宜进行书面协商。若协商不成，任何一方均有权按照本合同1.9.2条（解除合同条款）主张权利。</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2.12.4</w:t>
            </w:r>
            <w:r/>
          </w:p>
        </w:tc>
        <w:tc>
          <w:tcPr>
            <w:tcW w:w="8023" w:type="dxa"/>
            <w:vAlign w:val="center"/>
            <w:textDirection w:val="lrTb"/>
            <w:noWrap/>
          </w:tcPr>
          <w:p>
            <w:pPr>
              <w:spacing w:line="360" w:lineRule="auto"/>
              <w:rPr>
                <w:rFonts w:asciiTheme="minorEastAsia" w:hAnsiTheme="minorEastAsia" w:eastAsiaTheme="minorEastAsia"/>
                <w:color w:val="auto"/>
                <w:sz w:val="24"/>
                <w:szCs w:val="22"/>
                <w:highlight w:val="none"/>
              </w:rPr>
            </w:pPr>
            <w:r>
              <w:rPr>
                <w:rFonts w:hint="eastAsia" w:ascii="宋体" w:hAnsi="宋体" w:eastAsia="宋体" w:cs="宋体"/>
                <w:color w:val="auto"/>
                <w:sz w:val="24"/>
                <w:highlight w:val="none"/>
              </w:rPr>
              <w:t xml:space="preserve">受不可抗力影响的一方，应在不可抗力事件发生之日起</w:t>
            </w:r>
            <w:r>
              <w:rPr>
                <w:rFonts w:hint="eastAsia" w:ascii="宋体" w:hAnsi="宋体" w:eastAsia="宋体" w:cs="宋体"/>
                <w:color w:val="auto"/>
                <w:sz w:val="24"/>
                <w:szCs w:val="24"/>
                <w:highlight w:val="none"/>
              </w:rPr>
              <w:t xml:space="preserve">24 小时</w:t>
            </w:r>
            <w:r>
              <w:rPr>
                <w:rFonts w:hint="eastAsia" w:ascii="宋体" w:hAnsi="宋体" w:eastAsia="宋体" w:cs="宋体"/>
                <w:color w:val="auto"/>
                <w:sz w:val="24"/>
                <w:highlight w:val="none"/>
              </w:rPr>
              <w:t xml:space="preserve">内以书面形式通知对方，并在通知发出后7个日历日内，向对方提供不可抗力发生地县级以上政府或相关部门出具的证明文件。若未能在约定期限内提供有效证明，则不能免除其违约责任。</w:t>
            </w:r>
            <w:r/>
          </w:p>
        </w:tc>
      </w:tr>
      <w:tr>
        <w:trPr>
          <w:trHeight w:val="88"/>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2.16.1</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ascii="宋体" w:hAnsi="宋体" w:eastAsia="宋体" w:cs="宋体"/>
                <w:color w:val="auto"/>
                <w:sz w:val="24"/>
                <w:highlight w:val="none"/>
                <w:lang w:val="en-US" w:eastAsia="zh-CN"/>
              </w:rPr>
              <w:t xml:space="preserve">自标的物交付之日起15个工作日内开始</w:t>
            </w:r>
            <w:r/>
          </w:p>
        </w:tc>
      </w:tr>
      <w:tr>
        <w:trPr>
          <w:trHeight w:val="352"/>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eastAsia="en-US"/>
              </w:rPr>
              <w:t xml:space="preserve">2.16.3</w:t>
            </w:r>
            <w:r/>
          </w:p>
        </w:tc>
        <w:tc>
          <w:tcPr>
            <w:tcW w:w="8023" w:type="dxa"/>
            <w:vAlign w:val="center"/>
            <w:textDirection w:val="lrTb"/>
            <w:noWrap/>
          </w:tcPr>
          <w:p>
            <w:pPr>
              <w:spacing w:line="360" w:lineRule="auto"/>
              <w:rPr>
                <w:rFonts w:cs="宋体" w:asciiTheme="minorEastAsia" w:hAnsiTheme="minorEastAsia" w:eastAsiaTheme="minorEastAsia"/>
                <w:iCs/>
                <w:color w:val="auto"/>
                <w:sz w:val="24"/>
                <w:highlight w:val="none"/>
              </w:rPr>
            </w:pPr>
            <w:r>
              <w:rPr>
                <w:rFonts w:hint="eastAsia" w:asciiTheme="minorEastAsia" w:hAnsiTheme="minorEastAsia" w:eastAsiaTheme="minorEastAsia"/>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lang w:eastAsia="en-US"/>
              </w:rPr>
            </w:pPr>
            <w:r>
              <w:rPr>
                <w:rFonts w:hint="eastAsia" w:cs="宋体" w:asciiTheme="minorEastAsia" w:hAnsiTheme="minorEastAsia" w:eastAsiaTheme="minorEastAsia"/>
                <w:color w:val="auto"/>
                <w:sz w:val="24"/>
                <w:highlight w:val="none"/>
                <w:lang w:eastAsia="en-US"/>
              </w:rPr>
              <w:t xml:space="preserve">2.21</w:t>
            </w:r>
            <w:r/>
          </w:p>
        </w:tc>
        <w:tc>
          <w:tcPr>
            <w:tcW w:w="8023" w:type="dxa"/>
            <w:vAlign w:val="center"/>
            <w:textDirection w:val="lrTb"/>
            <w:noWrap/>
          </w:tcPr>
          <w:p>
            <w:pPr>
              <w:spacing w:line="360" w:lineRule="auto"/>
              <w:rPr>
                <w:rFonts w:cs="宋体" w:asciiTheme="minorEastAsia" w:hAnsiTheme="minorEastAsia" w:eastAsiaTheme="minorEastAsia"/>
                <w:color w:val="auto"/>
                <w:sz w:val="24"/>
                <w:highlight w:val="none"/>
              </w:rPr>
            </w:pPr>
            <w:r>
              <w:rPr>
                <w:rFonts w:hint="eastAsia" w:ascii="宋体" w:hAnsi="宋体" w:eastAsia="宋体" w:cs="宋体"/>
                <w:color w:val="auto"/>
                <w:sz w:val="24"/>
                <w:highlight w:val="none"/>
              </w:rPr>
              <w:t xml:space="preserve">本合同经甲方、乙方签字盖章后生效。本合同一式</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份，甲乙双方、财政监督管理部门各壹份。</w:t>
            </w:r>
            <w:r/>
          </w:p>
        </w:tc>
      </w:tr>
      <w:tr>
        <w:trPr>
          <w:trHeight w:val="65"/>
        </w:trPr>
        <w:tc>
          <w:tcPr>
            <w:tcBorders>
              <w:left w:val="single" w:color="000000" w:sz="4" w:space="0"/>
            </w:tcBorders>
            <w:tcW w:w="1446" w:type="dxa"/>
            <w:vAlign w:val="center"/>
            <w:textDirection w:val="lrTb"/>
            <w:noWrap/>
          </w:tcPr>
          <w:p>
            <w:pPr>
              <w:jc w:val="center"/>
              <w:spacing w:line="360" w:lineRule="auto"/>
              <w:rPr>
                <w:rFonts w:cs="宋体" w:asciiTheme="minorEastAsia" w:hAnsiTheme="minorEastAsia" w:eastAsiaTheme="minorEastAsia"/>
                <w:color w:val="auto"/>
                <w:sz w:val="24"/>
                <w:highlight w:val="none"/>
                <w:lang w:eastAsia="en-US"/>
              </w:rPr>
            </w:pPr>
            <w:r>
              <w:rPr>
                <w:rFonts w:hint="eastAsia" w:cs="宋体" w:asciiTheme="minorEastAsia" w:hAnsiTheme="minorEastAsia" w:eastAsiaTheme="minorEastAsia"/>
                <w:color w:val="auto"/>
                <w:sz w:val="24"/>
                <w:highlight w:val="none"/>
                <w:lang w:eastAsia="en-US"/>
              </w:rPr>
              <w:t xml:space="preserve">3.1</w:t>
            </w:r>
            <w:r/>
          </w:p>
          <w:p>
            <w:pPr>
              <w:pStyle w:val="788"/>
              <w:ind w:left="0"/>
              <w:jc w:val="center"/>
              <w:rPr>
                <w:rFonts w:cs="宋体" w:asciiTheme="minorEastAsia" w:hAnsiTheme="minorEastAsia" w:eastAsiaTheme="minorEastAsia"/>
                <w:color w:val="auto"/>
                <w:sz w:val="24"/>
                <w:highlight w:val="none"/>
                <w:lang w:eastAsia="en-US"/>
              </w:rPr>
            </w:pPr>
            <w:r>
              <w:rPr>
                <w:rFonts w:cs="宋体" w:asciiTheme="minorEastAsia" w:hAnsiTheme="minorEastAsia" w:eastAsiaTheme="minorEastAsia"/>
                <w:color w:val="auto"/>
                <w:sz w:val="24"/>
                <w:highlight w:val="none"/>
                <w:lang w:eastAsia="en-US"/>
              </w:rPr>
              <w:t xml:space="preserve">……</w:t>
            </w:r>
            <w:r/>
          </w:p>
        </w:tc>
        <w:tc>
          <w:tcPr>
            <w:tcW w:w="8023" w:type="dxa"/>
            <w:vAlign w:val="center"/>
            <w:textDirection w:val="lrTb"/>
            <w:noWrap/>
          </w:tcPr>
          <w:p>
            <w:pPr>
              <w:spacing w:line="360" w:lineRule="auto"/>
              <w:rPr>
                <w:rFonts w:asciiTheme="minorEastAsia" w:hAnsiTheme="minorEastAsia" w:eastAsiaTheme="minorEastAsia"/>
                <w:color w:val="auto"/>
                <w:sz w:val="24"/>
                <w:szCs w:val="22"/>
                <w:highlight w:val="none"/>
              </w:rPr>
            </w:pPr>
            <w:r>
              <w:rPr>
                <w:rFonts w:hint="eastAsia" w:asciiTheme="minorEastAsia" w:hAnsiTheme="minorEastAsia" w:eastAsiaTheme="minorEastAsia"/>
                <w:color w:val="auto"/>
                <w:sz w:val="24"/>
                <w:szCs w:val="22"/>
                <w:highlight w:val="none"/>
              </w:rPr>
              <w:t xml:space="preserve">……（可自行编辑）</w:t>
            </w:r>
            <w:r/>
          </w:p>
        </w:tc>
      </w:tr>
    </w:tbl>
    <w:p>
      <w:pPr>
        <w:rPr>
          <w:rFonts w:asciiTheme="minorEastAsia" w:hAnsiTheme="minorEastAsia" w:eastAsiaTheme="minorEastAsia"/>
          <w:color w:val="auto"/>
          <w:szCs w:val="22"/>
          <w:highlight w:val="none"/>
        </w:rPr>
      </w:pPr>
      <w:r>
        <w:rPr>
          <w:rFonts w:asciiTheme="minorEastAsia" w:hAnsiTheme="minorEastAsia" w:eastAsiaTheme="minorEastAsia"/>
          <w:color w:val="auto"/>
          <w:szCs w:val="22"/>
          <w:highlight w:val="none"/>
        </w:rPr>
      </w:r>
      <w:r/>
    </w:p>
    <w:p>
      <w:pPr>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br w:type="page" w:clear="all"/>
      </w:r>
      <w:r/>
    </w:p>
    <w:p>
      <w:pPr>
        <w:numPr>
          <w:ilvl w:val="0"/>
          <w:numId w:val="1"/>
        </w:numPr>
        <w:jc w:val="center"/>
        <w:spacing w:line="360" w:lineRule="auto"/>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 xml:space="preserve">采购需求</w:t>
      </w:r>
      <w:r/>
    </w:p>
    <w:p>
      <w:pPr>
        <w:jc w:val="left"/>
        <w:spacing w:before="750" w:after="240"/>
        <w:widowControl/>
        <w:rPr>
          <w:rFonts w:asciiTheme="minorEastAsia" w:hAnsiTheme="minorEastAsia" w:eastAsiaTheme="minorEastAsia"/>
          <w:color w:val="auto"/>
          <w:sz w:val="24"/>
          <w:highlight w:val="none"/>
        </w:rPr>
      </w:pPr>
      <w:r>
        <w:rPr>
          <w:rFonts w:cs="宋体" w:asciiTheme="minorEastAsia" w:hAnsiTheme="minorEastAsia" w:eastAsiaTheme="minorEastAsia"/>
          <w:b/>
          <w:bCs/>
          <w:color w:val="auto"/>
          <w:sz w:val="24"/>
          <w:highlight w:val="none"/>
        </w:rPr>
        <w:t xml:space="preserve">一.项目概况</w:t>
      </w:r>
      <w:r/>
    </w:p>
    <w:p>
      <w:pPr>
        <w:ind w:firstLine="424"/>
        <w:jc w:val="left"/>
        <w:spacing w:before="240" w:after="240"/>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rPr>
          <w:rFonts w:hint="eastAsia" w:cs="宋体" w:asciiTheme="minorEastAsia" w:hAnsiTheme="minorEastAsia" w:eastAsiaTheme="minorEastAsia"/>
          <w:color w:val="auto"/>
          <w:sz w:val="24"/>
          <w:highlight w:val="none"/>
          <w:lang w:eastAsia="zh-CN"/>
        </w:rPr>
        <w:t xml:space="preserve">句容市琅琊实验学校专用教室教学设备采购</w:t>
      </w:r>
      <w:r/>
    </w:p>
    <w:p>
      <w:pPr>
        <w:ind w:firstLine="424"/>
        <w:jc w:val="left"/>
        <w:spacing w:before="240" w:after="240"/>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最高限价：</w:t>
      </w:r>
      <w:r>
        <w:rPr>
          <w:rFonts w:hint="eastAsia" w:cs="宋体" w:asciiTheme="minorEastAsia" w:hAnsiTheme="minorEastAsia" w:eastAsiaTheme="minorEastAsia"/>
          <w:color w:val="auto"/>
          <w:sz w:val="24"/>
          <w:highlight w:val="none"/>
          <w:lang w:val="en-US" w:eastAsia="zh-CN"/>
        </w:rPr>
        <w:t xml:space="preserve">200万</w:t>
      </w:r>
      <w:r>
        <w:rPr>
          <w:rFonts w:hint="eastAsia" w:cs="宋体" w:asciiTheme="minorEastAsia" w:hAnsiTheme="minorEastAsia" w:eastAsiaTheme="minorEastAsia"/>
          <w:color w:val="auto"/>
          <w:sz w:val="24"/>
          <w:highlight w:val="none"/>
        </w:rPr>
        <w:t xml:space="preserve">元</w:t>
      </w:r>
      <w:r/>
    </w:p>
    <w:p>
      <w:pPr>
        <w:ind w:firstLine="424"/>
        <w:jc w:val="left"/>
        <w:spacing w:before="240" w:after="240"/>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项目所属行业：工业</w:t>
      </w:r>
      <w:r/>
    </w:p>
    <w:p>
      <w:pPr>
        <w:jc w:val="left"/>
        <w:spacing w:before="240" w:after="240"/>
        <w:widowControl/>
        <w:rPr>
          <w:rFonts w:cs="宋体" w:asciiTheme="minorEastAsia" w:hAnsiTheme="minorEastAsia" w:eastAsiaTheme="minorEastAsia"/>
          <w:b/>
          <w:bCs/>
          <w:color w:val="auto"/>
          <w:sz w:val="24"/>
          <w:highlight w:val="none"/>
        </w:rPr>
      </w:pPr>
      <w:r>
        <w:rPr>
          <w:rFonts w:cs="宋体" w:asciiTheme="minorEastAsia" w:hAnsiTheme="minorEastAsia" w:eastAsiaTheme="minorEastAsia"/>
          <w:b/>
          <w:bCs/>
          <w:color w:val="auto"/>
          <w:sz w:val="24"/>
          <w:highlight w:val="none"/>
        </w:rPr>
        <w:t xml:space="preserve">二.采购标的汇总表</w:t>
      </w:r>
      <w:r/>
    </w:p>
    <w:p>
      <w:pPr>
        <w:jc w:val="left"/>
        <w:spacing w:before="240" w:after="240"/>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（一） 采购标的</w:t>
      </w:r>
      <w:r/>
    </w:p>
    <w:p>
      <w:pPr>
        <w:jc w:val="left"/>
        <w:spacing w:before="240" w:after="240" w:line="360"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1.货物类标的</w:t>
      </w:r>
      <w:r/>
    </w:p>
    <w:p>
      <w:pPr>
        <w:pStyle w:val="765"/>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8"/>
          <w:highlight w:val="none"/>
          <w:u w:val="single"/>
          <w:lang w:val="en-US" w:eastAsia="zh-CN"/>
        </w:rPr>
        <w:t xml:space="preserve">详见“技术要求”。</w:t>
      </w:r>
      <w:r/>
    </w:p>
    <w:p>
      <w:pPr>
        <w:numPr>
          <w:ilvl w:val="0"/>
          <w:numId w:val="2"/>
        </w:numPr>
        <w:jc w:val="left"/>
        <w:spacing w:before="240" w:after="240"/>
        <w:widowControl/>
        <w:rPr>
          <w:rFonts w:cs="楷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本项目核心产品为</w:t>
      </w:r>
      <w:r>
        <w:rPr>
          <w:rFonts w:hint="eastAsia" w:cs="楷体" w:asciiTheme="minorEastAsia" w:hAnsiTheme="minorEastAsia" w:eastAsiaTheme="minorEastAsia"/>
          <w:color w:val="auto"/>
          <w:sz w:val="24"/>
          <w:highlight w:val="none"/>
          <w:u w:val="single"/>
        </w:rPr>
        <w:t xml:space="preserve">学生实验桌（陶瓷面板）</w:t>
      </w:r>
      <w:r>
        <w:rPr>
          <w:rFonts w:hint="eastAsia" w:cs="楷体" w:asciiTheme="minorEastAsia" w:hAnsiTheme="minorEastAsia" w:eastAsiaTheme="minorEastAsia"/>
          <w:color w:val="auto"/>
          <w:sz w:val="24"/>
          <w:highlight w:val="none"/>
        </w:rPr>
        <w:t xml:space="preserve">。</w:t>
      </w:r>
      <w:r/>
    </w:p>
    <w:p>
      <w:pPr>
        <w:numPr>
          <w:ilvl w:val="0"/>
          <w:numId w:val="3"/>
        </w:numPr>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技术要求</w:t>
      </w:r>
      <w:r/>
    </w:p>
    <w:p>
      <w:pPr>
        <w:ind w:firstLine="48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技术参数</w:t>
      </w:r>
      <w:r>
        <w:rPr>
          <w:rFonts w:hint="eastAsia" w:asciiTheme="minorEastAsia" w:hAnsiTheme="minorEastAsia" w:eastAsiaTheme="minorEastAsia"/>
          <w:color w:val="auto"/>
          <w:sz w:val="24"/>
          <w:highlight w:val="none"/>
          <w:lang w:val="en-US" w:eastAsia="zh-CN"/>
        </w:rPr>
        <w:t xml:space="preserve">指标</w:t>
      </w:r>
      <w:r>
        <w:rPr>
          <w:rFonts w:hint="eastAsia" w:asciiTheme="minorEastAsia" w:hAnsiTheme="minorEastAsia" w:eastAsiaTheme="minorEastAsia"/>
          <w:color w:val="auto"/>
          <w:sz w:val="24"/>
          <w:highlight w:val="none"/>
        </w:rPr>
        <w:t xml:space="preserve">按重要性分为“★”和▲”。“★”代表实质性指标，不满足该指标项将导致投标无效，“▲”代表重要指标，其它代表一般指标项</w:t>
      </w:r>
      <w:r>
        <w:rPr>
          <w:rFonts w:hint="eastAsia" w:cs="宋体" w:asciiTheme="minorEastAsia" w:hAnsiTheme="minorEastAsia" w:eastAsiaTheme="minorEastAsia"/>
          <w:color w:val="auto"/>
          <w:sz w:val="24"/>
          <w:szCs w:val="32"/>
          <w:highlight w:val="none"/>
        </w:rPr>
        <w:t xml:space="preserve">。</w:t>
      </w:r>
      <w:r/>
    </w:p>
    <w:tbl>
      <w:tblPr>
        <w:tblStyle w:val="764"/>
        <w:tblW w:w="9787" w:type="dxa"/>
        <w:jc w:val="center"/>
        <w:tblLayout w:type="autofit"/>
        <w:tblCellMar>
          <w:left w:w="108" w:type="dxa"/>
          <w:top w:w="0" w:type="dxa"/>
          <w:right w:w="108" w:type="dxa"/>
          <w:bottom w:w="0" w:type="dxa"/>
        </w:tblCellMar>
        <w:tblLook w:val="04A0" w:firstRow="1" w:lastRow="0" w:firstColumn="1" w:lastColumn="0" w:noHBand="0" w:noVBand="1"/>
      </w:tblPr>
      <w:tblGrid>
        <w:gridCol w:w="992"/>
        <w:gridCol w:w="1701"/>
        <w:gridCol w:w="5830"/>
        <w:gridCol w:w="652"/>
        <w:gridCol w:w="612"/>
      </w:tblGrid>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单位</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（1F）融合教室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资源教室管理系统-IEP</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资源教室管理系统-IEP提供随班就读资源老师、学生以及家长的信息化、软件化、数据化管理及云计算服务，可根据资源教室的组织架构，梯次配置资源，完善康复教育的业务流程，逐步建全资源教室运行体系。系统支持账号登录及人脸登录、登录后界面显示使用者的头像、姓名及在线状态、点击其功能图标可直接更改用户信息、屏幕保护锁屏及退出系统；为便于操作使用，各界面均设有全屏模式/退出全屏模式、一键返回主页及消息提示功能按钮图标，</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1、建档资料：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姓名、学籍号、头像上传、身份证号、出生日期、性别、所属机构、班级、教学形式、残疾证有/无及残疾证编号录入、7大障碍类型选择、障碍等级、现居住省份、城市、区/县、街道/镇寸、现居备注、监护人、与学生关系、紧急联系人电话、紧急联系人住址及其他说明，以卡片模块化方式呈现，系统自动生成对应的档案编号，一键保存档案和打印档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包含感官功能/健康状况（不少于7项)、知觉动作能力（不少于19项)、生活自理能力（不少于4类20项)、沟通能力（不少于5类19项)、社会适应（情绪、人际、行为不少于20项)；认知/学业能力（不少于4类20项)、学习行为特征（不少于30项)、学习现状描述、学习优势及限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可按照姓名、机构、学号查询学生档案信息，其查询界面多人显示以卡片式方式呈现，每个卡片信息包含学生头像、姓名、性别、班级、所在机构等基础信息，点击查看资料可一键查看学生所有档案信息，数据较多时系统自动分页显示并统计数据量，可根据其菜单选择上一页、下一页、首页或尾页查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基础测评-新建学生测评、系统自动生成测评单号（字母与数字组成）及评测日期、学生基础测评信息（姓名、头像、所在机构、班级、残障类型、性别）、摘要及备注、测评内容（计分说明、分值、评估操作说明），树状导航呈现IEP长期目标短期目标关联项，AI标红预警未完成评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3、专项个别化定制：新增个别化计划、系统自动生成单号（字母、数字等组成），直观显示学生头像、姓名、性别、机构、班级、残疾类型；计划主</w:t>
            </w:r>
            <w:r>
              <w:rPr>
                <w:rFonts w:cs="宋体" w:asciiTheme="minorEastAsia" w:hAnsiTheme="minorEastAsia" w:eastAsiaTheme="minorEastAsia"/>
                <w:color w:val="auto"/>
                <w:szCs w:val="21"/>
                <w:highlight w:val="none"/>
              </w:rPr>
              <w:t xml:space="preserve">题涵盖评估类别、评估表、评估版本、评估单号、评估日期、计划开始与结束日期、创建人、摘要及备注；计划项目涵盖整体计划精度、每个计划项目均设有训练要求（掌握程度、反应量标、时效标尺），通过进度预警矩阵（绿/橙/红三色标）实时追踪达标率，方案可以通过当前学生信息(年龄、性别、障碍类型等)及本次评测值AI大模型辅助编写教案（学情分析，教学目标、教学难点，教学准备，教学过程） ，通过AI引擎实现专项个别化计划的智能构建与动态优化，驱动从评估诊断到教学执行的闭环进化，可以打印预览，导出pdf word, excel等。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▲4、沟通场景覆盖：包含情绪表达、生活需求、社交互动、日常活动等24类高频场景图标，支持图标定制更换，另外包含不少于6个定制化录音按钮，可以按压按钮进行个性化录制沟通语音，内容可以随洗随录。</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5、不少于30个图标按钮，按压可输出语音，按钮为内嵌式设计，便于学生按压，语音输出：按下按键播放对应图标场景语音，音量支持4级调节。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6、配套制作软件：软件具有不少于2000张简约线条图，可以直接打印，贴到按钮上，录制语音后，可以做到播放对应图标场景语音。</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b/>
                <w:color w:val="auto"/>
                <w:szCs w:val="21"/>
                <w:highlight w:val="none"/>
              </w:rPr>
              <w:t xml:space="preserve">▲7、提供资源教室管理系统的软件著作权证书扫描件</w:t>
            </w:r>
            <w:r>
              <w:rPr>
                <w:rFonts w:hint="eastAsia" w:cs="宋体" w:asciiTheme="minorEastAsia" w:hAnsiTheme="minorEastAsia" w:eastAsiaTheme="minorEastAsia"/>
                <w:b/>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智能型PIC计时器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一、产品用途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用于特殊儿童时间概念和计划安排的教学、训练，也可作为普通儿童生活规范和行为习惯的培养、塑造。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二、系统功能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1、三种模式的时间设定：LED和可视化时间图卡显示标志时间轴，帮助儿童直观地认识时间概念，理解及计划生活日程。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2、在进行计划任务和时间安排时，将生活图卡（任务图卡）插到智能型计时器上用于提示某个时间段的任务和要求。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3、智能型计时器的卡片安装简单方便，通过卡槽直接安装在版面上的槽里。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4、符号化的图卡：简洁、形象的彩色图形符号卡片，帮助儿童建立时间-事件关联和动作、活动程序，培养儿童良好的生活规范和行为习惯。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5、可视化任务栏：儿童可清晰看到每天每个时间段的规划及任务清单，并清晰的记录单项完成结果。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6、强化功能：智能型计时器可以在屏幕上记录强化方案（奖惩）。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7、情绪色彩：四色时间屏幕设计，提高儿童的时间可视化及正面情绪。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8、图库：写实性生活活动图库不少于600份，如起床、洗澡、早餐、洗脸、篮球等等生活词汇图。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三、产品组成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计时器、图卡10张及图库组成。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计时器尺寸：外形尺寸不小于（长×宽×高）：190mm×93mm×165mm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足球游戏桌</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6杆桌式足球桌；70cm*36*cm*23.5cm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竞技型、合作型桌面游戏套装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专业场地比赛赛道套装超大组合套装；尺寸不小于60x50x30cm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Mini高尔夫球套装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不小于3.5米练习器+推杆+10球</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数字游戏布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数字游戏布，扑克扑克桌布橡胶垫，尺寸180*60cm±3%。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太阳系行星悬挂系列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主要材质：底座：ABS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包装尺寸：48*30*18CM±3%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产品重量：约0.9KG±3%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用于太阳系天体的构成及其运转的学习和探究，包含数字星空CD光盘、发光的太阳、九大行星；包括太阳，水星，金星，地球，火星，木星，土星，天王星，海王星和冥王星、自动旋转、语音交互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弧形腹肌训练器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外形尺寸/cm：147×55×54-67cm±3%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材质：荔枝纹皮革，加厚泡棉，加粗钢材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高低双调节管高54-67cm±3%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产品用途：借助弧形面进行腹肌肌力训练，如俯卧撑，仰卧抬腿等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肌力训练弹力带</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肌力训练弹力带属于康复训练器械，用于颈后臂、大腿、二头肌、后背、三角肌等训练，外形尺寸/㎝：150*3cm±3%，108*3cm±3%，每组肌力训练弹力带由不少于两件组成，橡筋绳含不同段数，不同段数不同阻力。</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手平衡协调训练器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30×27×8.5cm±3%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功能：手眼协调训练</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专注力及精细动作训练组件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专注力及精细动作训练组件主要可以训练学生的手部精细动作及专注力，同时可以进行小团队配合，提高学生的团体协助能力。本组件可自由组合及创作。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外包装：材料木质，尺寸（mm）70x240x480±3%，可以整体收纳。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使用教案：配套组件的使用说明书一本。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转接头：尺寸不小于（mm）42x45x20,数量不少于6个。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滑梯：配套不少于4个上下滑梯，尺寸（mm）45x30x200±3%。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操作平台：配置有不少于9个双面轨道操作平台，材料为木质，单个双面平台尺寸 （mm）220x30x45±3%，每个平台的两面都带有磁铁，可自由组合及训练。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操作平台形式包含：S型轨道平台，直道轨道平台、下坡轨道平台、侧面轨道平台、线性轨道平台、翻转轨道平台、陷阱轨道平台、滚珠轨道平台和山道轨道平台，各种轨道形式可以自由组合，进行个性化训练。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配件不少于：轻质和重质球各2个，大小球套4个。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▲产品附着力级别≤2级，硬度≥HB。</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手功能组合训练箱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外形尺寸：57×42×16cm±3%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配有木插棍、玻璃球、铁插棍、螺栓、螺母、握力圈、握力器、防盗扣、箱搭扣、模拟插头插座、锁搭扣及挂锁、台锁、窗插销、窗钩等14种训练用具。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功能：训练患者眼手协调功能，改善手指灵活性，提高手协调性、灵活性。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平衡训练套件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平衡训练套件尺寸长宽高53x50x79cm，可承重不小于300公斤，材质为PVC+塑料。1、可根据学生的平衡能力，调节套件内部气压；2、可缓解学生情绪压力，锻炼肌肉力量及平衡能力。</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平衡半圆球-蓝色</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材质：PVC+ABS规格：58*20cm±3% 可以站或坐在平衡半圆球上，做平衡蹲、弓步、有氧步操、仰卧起坐、平衡俯卧撑，臀部拉伸等动作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光面大笼球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材质：环保塑料；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负载：最大可承受100kg；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内容及尺寸：直径不小于52cm球一个；颜色：蓝色、红色、黄色不等。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粗面大笼球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材质：环保塑料；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内容及尺寸：直径不小于60cm的大笼球一个。</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负载：最大可承受100kg。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触觉球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学生用来进行触觉训练，同时可以进行传递本体觉训练。</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材质：塑料；内容及尺寸：不小于直径30×L60cm。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盲文写字板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适用：盲校学习用品，盲人写字；材质为塑料。规格：27行30方，尺寸：303x219x6mm±3%，重量不小于：309克。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助写板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低视力助写板22.5*13.8cm±3%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盲文笔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使用钢尖头按盲文书写规则，在盲文写字板凹槽内打点。塑料手柄，钢质笔头；重量约7.8克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语音计算器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产品类型：大屏真人语音播报，多功能办公便携计算器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屏幕最大显示位数：12位数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适配电池类型：5号碱性电池。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盲杖</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拐杖类别:导盲杖；适用人群:视力障碍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选购热点:轻便；颜色分类:白色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（2F)历史教室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复古讲台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规格：≥1800*700*800mm，桌面厚度不小于25mm，两端带上翘角头，桌面下带装饰雕花，四根支撑腿，榆木材质，采用榫卯结构，结实牢靠。该书画桌简洁大方，纹理通达清晰，外观鲜明光亮，仿古色。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复古学生桌</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规格：≥1200*500*760mm两端带上翘角头，桌面下带装饰雕花，四根支撑腿，榆木材质，采用榫卯结构，结实牢靠。该书画桌简洁大方，纹理通达清晰，外观鲜明光亮，仿古色。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复古座凳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技术要求：同书画桌搭配使用，凳面尺寸不小于350*250mm，凳子高度不小于430mm，整体材质为榆木，采用榫卯结构，结实牢靠。该书画凳简洁大方，纹理通达清晰，外观鲜明光亮，颜色同书法桌相同。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数字历史年鉴图</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产品需具有以下资源：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政治：中国政治资源：点击历史年鉴-政治，可显示禅让制、王位世袭制、分封制和宗法制、周平王东迁洛邑、澳门回归、上海成功举办亚太经合组织会议等≥70个，世界政治资源：点击历史年鉴-政治，可显示希腊城邦出现、梭伦改革、克里斯提尼改革、科索沃战争、911事件等≥60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经济：中国经济资源：点击历史年鉴-经济-事件，可显示中国原始农业、青铜技术、工商食官、中国加入世贸组织、中国-东盟自由贸易区建立等≥55个，世界经济资源：点击历史年鉴-经济-事件，可显示欧洲出现手工业商业城市、意大利出现资本主义萌芽、欧元问世、美国次贷危机等≥51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文化：中国文化资源：点击历史年鉴-文化-事件，可显示鹳鱼石斧图、夏小正、甲骨文、中国首次载人航天成功、中共十八大等≥56个，世界文化资源：点击历史年鉴-文化-事件，可显示智者学派、封建神学钳制欧洲文化发展、文艺复兴、互联网产生、美国高速公路计划、克隆羊多莉等≥46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学生作品展示墙交互系统</w:t>
            </w:r>
            <w:r/>
          </w:p>
        </w:tc>
        <w:tc>
          <w:tcPr>
            <w:shd w:val="clear" w:color="auto" w:fill="ffffff"/>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学生作品展示墙交互系统</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1.作品墙是一款展示学生作品、分享图片、视频或者专题资源的交互系统；</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 支持学生手机端以及平板或者PC端登录系统后上传图片以及视频资源作为自己的作品。作品上传必填内容：年级、班级、姓名、作品名称和作品主题；</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3.支持学生编辑作品名名称、作品介绍以及背景意义等信息；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4.支持学生把资源组成一个专题（资源集合）上传；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5.支持教师在一体机上审核学生上传的作品，审核无误后，通过作品墙展示学生的作品；</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★6.作品墙会进行滚动式展现学生作品，图片视频资源，支持点击预览和全屏操作，视频资源支持播放操作。专题支持滑动切换预览专题中的资源；</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7.点击作品放大查看作品的具体信息：包括作品介绍、背景意义以及学生信息等；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8.支持对学生作品来进行点赞评比功能；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9.检索功能，可按年级、班级、学生姓名、作品名称、作品主题、时间段来进行检索。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翻水车模型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规格：≥920×200×280mm，材质：木质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一号铜车马模型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规格：≥590×390×390mm，材质：高分子复合材料。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石器：砍砸器、石斧、石刀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规格：≥590×390×70mm，材质：高分子复合材料。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马王堆乘云绣</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规格：≥240×190×30mm，高仿真复制。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铜奔马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规格：≥290×350×90mm，材质：铜质。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铜镜（海兽葡萄镜）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规格：≥178×14mm，材质：铜质。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击鼓说唱俑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规格：≥560×400×320mm，东汉，材质：高分子复合材料。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辘轳模型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规格：≥370×200×230mm，材质：木质。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北京人头像</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规格：≥455×320×250mm，材质：高分子复合材料。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山顶洞人头像</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规格：≥445×265×230mm，材质：高分子复合材料。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筒车模型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规格：≥445×180×360mm，材质：木质。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人面鱼纹盆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规格：≥385×385×160mm，材质：高分子复合材料。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猪纹陶钵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规格：≥205×165×112mm，材质：高分子复合材料。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黑陶高柄杯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规格：≥70×183mm，材质：高分子复合材料。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二里头铜爵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规格：≥270×90×240mm，材质：高分子复合材料。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卜甲、卜骨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规格：≥175×93mm，材质：高分子复合材料。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曲辕犁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规格：≥560×310×150mm，材质：木质。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双镰范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规格：≥300×100mm，材质：高分子复合材料。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十二字砖</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规格：≥300×265×40mm，材质：高分子复合材料。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古钱币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规格：≥200×120mm，材质：高分子复合材料。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汉竹、木简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规格：≥300×160×35mm，材质：木质。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漆耳杯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规格：≥120×150×36mm，材质：高分子复合材料。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三彩马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规格：≥360×360×140mm，材质：陶瓷制品。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三彩骆驼</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规格：≥340×210×85mm，材质：陶瓷制品。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至顺三年铜炮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规格：≥350×105mm，材质：高分子复合材料。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四羊方尊</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规格：≥420×430×590mm，材质：高分子复合材料。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长信宫灯模型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规格：≥380×350×600mm，材质：高分子复合材料。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唐代瓜形执壶模型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规格：≥220×95mm，材质：高分子复合材料。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龙山文化盆形琢足鼎</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规格：≥180×260mm，材质：高分子复合材料。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东汉市井画像砖</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规格：≥280×480mm，材质：高分子复合材料。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根据学校要求定制历史类高清图文，结构有新意，表达性强。包含基础改造及窗帘配套安装。整体设计符合中学生的审美观念。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（2F)地理教室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教师讲台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1.尺寸约2000*700*850mm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2.台面：采用12.7mm厚的实芯理化板一体化台面、防腐蚀、耐酸碱、防静电、防火、耐磨、耐热、耐烟酌、抗污。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3.台身：背板及围板采用16mm三聚氰胺浸渍板制作。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4.脚垫：采用高级ABS塑料制作，高低可调。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5.高强度铝合金框架结构（主支柱为50mm的圆形载重型支柱，横梁为30mm*30mm的方形管，所有塑钢型材表面光洁度高，防酸耐碱，耐灰浆、耐盐雾、耐湿热、耐老化、组装方便、灵活，美观豪华。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数字地理学生桌</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1、尺寸约：1400×1200×740mm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2、台面：采用12.7mm厚的实芯理化板一体化台面、防腐蚀、耐酸碱、防静电、防火、耐磨、耐热、耐烟酌、抗污。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3、台身：背板及围板采用16mm三聚氰胺浸渍板制作。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4、脚垫：采用高级ABS塑料制作，高低可调。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5、高强度铝合金框架结构（主支柱为50mm的圆形载重型支柱，横梁为30mm*30mm的方形管，所有塑钢型材表面光洁度高，防酸耐碱，耐灰浆、耐盐雾、耐湿热、耐老化、组装方便、灵活，美观豪华。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凳面采用高密度ABS材质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中国立体地形模型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规格：外框尺寸：≥2800mm×2000mm，水平比例尺1：240万；</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1.中国立体地形图通过卫星遥感资料，等高线分层设计，色泽鲜艳，立体感强，采用塑胶材料模压一体成型，无拼接缝，是一个集声、光、电为一体的现代高科技教学产品。</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▲2.要求达到地图出版精度，经由专门地图出版社出版，审图号要求不早于2023年。</w:t>
            </w:r>
            <w:r>
              <w:rPr>
                <w:rFonts w:cs="宋体" w:asciiTheme="minorEastAsia" w:hAnsiTheme="minorEastAsia" w:eastAsiaTheme="minorEastAsia"/>
                <w:b/>
                <w:bCs/>
                <w:color w:val="auto"/>
                <w:szCs w:val="21"/>
                <w:highlight w:val="none"/>
              </w:rPr>
              <w:t xml:space="preserve">（提供出版社证明资料）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3.地图全图带有知识内容识别码，识别码整体印刷在地图表面，采用暗码形式，不影响地图的清晰度和观赏度，识别码没有任何拼接和粘贴痕迹。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4.通过专用的电子教鞭可以在整个地图范围内任意位置读取到相应语音解说内容，解说内容分为初中版本的内容和高中版本的内容。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能够清楚表示出我国相邻的国家；我国首都、省级行政区划及主要城市；邻国首都及部分主要城市；我国与邻国间及邻国与邻国间的国界线；我国主要铁路、高速公路以及重要的国、省干道；我国及部分邻国主要高原、河流、湖泊、沙漠、盆地、平原、丘陵、山脉、山峰及其它地形相关要素；与我国相邻的主要湖泊、海洋、海峡、岛屿及海湾等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6.利用集成电路和灯光系统，国界、省会、直辖市可以循环闪动，主要河流的流向以及主主要铁路按照路线名称顺序点亮，带有流动效果，同时配有语音同步解说。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世界立体地形模型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规格：外框尺寸：≥2800mm×2000mm，水平比例尺1：1600万；</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1.世界立体地形图通过卫星遥感资料，等高线分层设计，色泽鲜艳，立体感强，采用塑胶材料模压一体成型，无拼接缝，是一个集声、光、电为一体的现代高科技教学产品。</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▲2.要求达到地图出版精度，经由专门地图出版社出版，审图号要求不早于2023年。</w:t>
            </w:r>
            <w:r>
              <w:rPr>
                <w:rFonts w:cs="宋体" w:asciiTheme="minorEastAsia" w:hAnsiTheme="minorEastAsia" w:eastAsiaTheme="minorEastAsia"/>
                <w:b/>
                <w:bCs/>
                <w:color w:val="auto"/>
                <w:szCs w:val="21"/>
                <w:highlight w:val="none"/>
              </w:rPr>
              <w:t xml:space="preserve">（提供出版社证明资料）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3.地图全图带有知识内容识别码，识别码整体印刷在地图表面，采用暗码形式，不影响地图的清晰度和观赏度，识别码没有任何拼接和粘贴痕迹。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4.通过专用的电子教鞭可以在整个地图范围内任意位置读取到相应语音解说内容，解说内容分为初中版本的内容和高中版本的内容。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5.地图配有控制区，重要的知识内容配有实体的电容式触摸按键控制灯光和语音同步演示。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6.一键双功能：同一个知识点的按键可以通过用手直接触摸的方式打开或关闭灯光和语音，还可以使用配备的电子教鞭打开和关闭相关的语音和灯光。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7.初中版语音和高中版语音也可以通过用手直接触摸和电子教鞭两种方式进行内容切换。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为教学方便，语音音量大小能自由调节，演示内容的灯光要能够闪动或流动，音量大小和灯光流动效果调节为共用按键，即通过触摸同一个按键可以调节音量大小还能调节所演示内容灯光闪动频率以及流动速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能够清楚表示出世界七大洲、四大洋；主要的国家及各国首都首府；主要国家的重点城市；世界各国主要铁路干线；世界各国主要高等级公路；世界主要航海线；世界各国主要高原、河流、湖泊、沙漠、盆地、平原、丘陵、山脉、山峰及其它地形相关要素；世界主要海洋、海峡、岛屿、海湾、海沟、海丘、海岭、海台、海盆；世界主要科学考察站；世界大陆冰及陆缘冰分布；世界永冰界等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10.灯光、语音同步主要内容：（1）国际日期变更线 （2）亚欧板块 （3）美洲板块 （4）非洲板块 （5）南极洲板块 （6）太平洋板块 （7）印度洋板块 （8）河流 （9） 尼罗河（10）亚马孙河（11）长江（12）密西西比河（13）黄河（14）拉普拉塔河（15）刚果河（16）湄公河（17）勒拿河（18）鄂毕河。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w:t>
            </w:r>
            <w:r/>
          </w:p>
        </w:tc>
        <w:tc>
          <w:tcPr>
            <w:shd w:val="clear" w:color="000000"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地质年代演化表互动系统</w:t>
            </w:r>
            <w:r/>
          </w:p>
        </w:tc>
        <w:tc>
          <w:tcPr>
            <w:shd w:val="clear" w:color="000000" w:fill="ffffff"/>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地质年代图谱演示系统包含地质年代拼图游戏、地质年代科普视频和地质年代互动答题三个模块。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1、地质年代拼图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（1）按地质时期划分地质年代的宙、代、纪、年龄值等不同时间模块。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★（2）按生物发展阶段划分植物界和动物界，包含鱼、两栖动物、恐龙、爬行动物、哺乳动物等动物模块，以及藻类、珊瑚、苏铁、蕨类等植物模块。</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（3）按照时间顺序将对应的宙、代、纪等时间模块拖入到地质年代图谱中，选择正确得分，选择错误不得分。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（4）按照时间顺序对应时期的动物、植物模块拖入到地质年代图谱中，选择正确得分，选择错误不得分。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（5）拼图设置用时竞赛及最终得分统计。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2、地质年代科普视频</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（1）进入到地质年代时间表，每个地质年代及对应的时间、动物、植物模块均可点击播放，视频内容包括：地质年代的定义、时间划分、所属时期的地球环境状况和当时的动、植物种类等。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（2）进入到地质年代时间表，点击“地质年代演变”，可播放整个地球地质年代演变的科普视频，整体介绍地质年代的演变过程。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★3、地质年代互动答题</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点击“互动答题”，题库随机出与地质年代知识相关的选择题。每次出10题，每题有30秒的答题倒计时，答对一题加10分，全部答完后，出成绩统计界面，用户可以看到自己的答题分数和答题详情，回顾题目和答案，也可以点击“继续答题”或“退出”；用户答题后，可以点击箭头打开折页，看到本题的答案解析。</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地理AR教学系统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材质：有机玻璃；规格（长×宽×厚）：200×150×3mm，教学板采用硬度强、材质轻巧、透光度高的亚克力有机玻璃制成，教学板表面采用UV印刷的工艺将承载相关地理教学知识点的AR识别图印制其上，原创设计承载地理教学数字内容的识别图，配合移动地理AR专用APP中的教学数字内容使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专用支架1个，材质：铝合金/锌合金/铝/金属/不锈钢/TPR塑料；万向旋转，金属台式底座设计，防滑硅胶保护，耐磨TPR材料，可拆，对向弹簧：夹口宽度≤11.3cm，可拉伸至19cm，夹口:采用耐磨防滑的TPR材质，抗震防摔；护脚:采用硅胶材质，有效防止刮花滑落，保护设备安全；旋转球体:双层材料特制而成，经久耐磨；力度调节:免工具调节阻尼力度；铝合金架子:采用高强度铝合金材质，稳固不晃动；不锈刚螺丝:旋转点采用不锈钢螺丝，可调节松紧度；支架旋转力度调节：支架紧松度可自行调节把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3.可与智慧黑板联动，同时满足小组及多人探究学习。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软件部分：可通过平板无线识别到识别板，可实现无线投屏到大屏，便于学生观看；系统采用AR现实增强技术方式展示、动态互动，对教学知识进行全方位观察，同时配合文字、图片、语音等元素，学习起来更加生动、形象、直观；加强学生的参与感，提高学生的学习兴趣；系统设置有课程内容目录、难题详解、退出等控制。软件具有答题交互功能，每个AR内容均设置有题库，每次可从题库中随机组题作答，每道题作答时设置倒计时，答题结束后自动统计作答成绩，并可查看答题详情，同时也可以选择重新答题，重新作答的题目从题库中重新抽取。</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▲5.课程内容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 六大板块：亚欧板块、非洲板块、美洲板块、太平洋板块、印度洋板块和南极洲板块，火山、地震带。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 等高线：海拔、相对高度，等高线概念，山峰、山脊、山谷、陡崖、鞍部，等高线应用案例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 等高线应用案例：互动及水坝的选址</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 经纬网：经线，纬线，南、北半球，低中高纬度，北回归线、南回归线、北极圈、南极圈，本初子午线，东、西半球分界线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 中国地形地势：我国主要山脉，四大高原，四大盆地，三大平原，三大丘陵，三大阶梯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 地上河：黄河概况，黄河特征、凌汛过程，黄河上游、中游、下游特征，地上河形成过程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 喀斯特地貌：中国喀斯特分布，形成的气候原因，地质因素，对农业的影响</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 黄土地貌：黄土塬、黄土梁、黄土峁、黄土川，黄土高原水土流失状况，水土流失导致的原因（自然原因、人为原因）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 世界气候类型：气候类型分布，热带雨林气候，热带草原气候，温带季风气候，寒带气候</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 现代化的乳产品生产过程：欧洲人饮食结构，欧洲西部的畜牧业，现代化的乳产品生产过程，约翰家的乳畜农场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 水库调节径流：水资源分布不均，水利工程，兴建水库，三峡工程，南水北调工程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 因地制宜发展农业：农业生产要素，因地制宜必要性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 地形剖面图：概念及说明现象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地质年代演化表</w:t>
            </w:r>
            <w:r/>
          </w:p>
        </w:tc>
        <w:tc>
          <w:tcPr>
            <w:shd w:val="clear" w:color="auto" w:fill="ffffff"/>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规格：400*480mm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材质：实木颗粒板，热转印图案，防水覆膜。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组成：由地质年代图谱底板及可活动的圆角嵌板组成。圆角嵌板带软性磁贴，形状有圆形及椭圆形，可嵌入到底板。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一、内容：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1、按地质时期划分地质年代的宙、代、纪、年龄值等不同的时间模块。</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2、按生物发展阶段划分植物界和动物界，包含鱼、两栖动物、恐龙、爬行动物、哺乳动物等动物模块，以及藻类、珊瑚、苏铁、蕨类等植物模块。</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3、时间模块、植物模块及动物模块为可活动的圆角嵌板，数量不少于40个。</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▲二、体验模式：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1、一人答题模式：即一人把所有嵌板拼合到底板正确的位置，全部拼图正确即完成。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2、两人竞赛模式：即两人交替把所有嵌板拼合到底板正确的位置，二者可进行时间竞赛，全部拼图正确即完成。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b/>
                <w:bCs/>
                <w:color w:val="auto"/>
                <w:szCs w:val="21"/>
                <w:highlight w:val="none"/>
              </w:rPr>
              <w:t xml:space="preserve">（提供该功能的功能截图，不接受任何AI绘图、AI合成、AI修图生成的虚假素材）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三、拓展功能：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通过移动终端扫描嵌板背面上的二维码可浏览与嵌板同主题的拓展资源，展现更多更精彩的信息。资源包括：地质年代的定义、时间划分、所属时期的地球环境状况和当时的动、植物种类，图文并茂，并配有视频详细说明，更直观、生动的理解相关内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平面政区地球仪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1.产品由球体和支架等组成。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平面地形地球仪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1.产品由球体和支架等组成。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立体地形地球仪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1.产品由球体和支架等组成。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2.平面比例尺1:40000000。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3、球体正圆，球体在支架上可以自由转动，能停止在任一位置。静置和转动能有一定的稳度。</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平面两用地球仪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规格：≥Φ32cm（1：4000万），灯光区分政区、地形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1、球体直径正圆，采用PVC原料制作，上下两个半球，透明球体，误差不能超过0.3mm，有独立电源控制转换地形、政区。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经纬度模型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规格：≥Φ32cm（1：4000万）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1、本模型由二十四条经线和九条纬线构成的空心网状球体，由于表面采用了喷塑工艺处理，防锈效果更好。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2、模型内部装有固定的用优质铝板制做的本初子午线平面板和赤道平面板以及可转动的经线平面板和纬度指针，轻质材料加上精美印刷，使本模型更是色彩柔和，质量出众。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天球仪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规格：≥Φ32cm（1：4000万），灯光两用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高清印刷，可360°旋转，刻度支架，环保塑料底座，底座可拆卸。</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世界钟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300mm，一种世界钟表，该钟表在现有钟表的基础上，仅将时针改为世界时区地名盘，盘上将世界时区代表性的城市名称按时区位置排列成圆圈或螺旋圈，内外圈同一角度的东、西半球两个城市时间相差12小时。该钟表结构简单，方便实用，广泛用于机关、单位和人们随时掌握当地时间和世界其它时区时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等高线地形图判读模型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层演示,模型根据等高线地形图原理制作而成，可演示平面地形图与实际地形部位的对应关系，基本内容有：山顶、山脊、山谷、鞍部、陡崖、河流、冲积扇、缓坡、陡坡。模型表面绘有等高线并可分为若干层，分层部分可自由取下以演示平面等高线与模型等高线的关系，模型侧面绘有与等高线相对应的地形剖面图。本模型具有结果简单、材料轻巧、搭拆方便、形象直观等特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板块构造及地表形态模型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600×330×170mm,采用优质合成树脂制作，牢固、不变形、着色鲜明，能演示讲授海底地形、地球内部圈层，地壳结构，地壳运动，地形变化，板块构造、火山地震的形成与分布地球表面海陆轮廓的形成。带有海洋部分，陆地部分，地球内部圈层，地壳结构，地形变化，板块构造等演示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褶皱构造及地貌演变模型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规格：≥510×230×170mm,采用优质合成树脂制作，牢固、不变形、着色鲜明，可概括、缩小、集中的表现褶皱构造现象及其它地表形态的动态变化过程。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断裂构造及地貌演变模型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500×280×190mm,由两部分五件组成，整体部分规格≥450mm×120mm×150mm，活动部分组合后规格≥450mm×100mm×150mm，其中四件能在磁性范围内移动。能够按矢示方向活动演示说明断裂构造的形成，活动演示地垒地堑的形成，演示地形地貌形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岛屿成因演示模型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规格：≥570×420×130mm,采用优质合成树脂制作，牢固、不变形、着色鲜明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海底地形模型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规格：≥470×230mm,采用优质合成树脂制作，牢固、不变形、着色鲜明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断层、褶皱模型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规格：≥470×90×130mm,采用优质合成树脂制作，牢固、不变形、着色鲜明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地壳变动模型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规格：≥480×170×200mm,采用优质合成树脂制作，牢固、不变形、着色鲜明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沉积地层模型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规格：≥450×110×150mm,采用优质合成树脂制作，牢固、不变形、着色鲜明</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根据学校要求定制历史类高清图文，结构有新意，表达性强。包含基础改造及窗帘配套安装。整体设计符合中学生的审美观念。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史地准备室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实验桌（准备台）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2400mm×1000mm×850mm铝木结构，一体化台面，双面设计，台面下设置抽屉和储柜。基本要求如下：（1）台面尺寸（长宽高）≥2400mm×1000mm一体化台面，采用≥12.7mm厚易清洁、防水、防火、耐酸碱、耐腐蚀等墨绿色实芯理化板成型制作，四边加厚，机械打磨。整体美观大方、耐用。台身主体背板及吊板采用16mm厚优质三聚氰胺防潮双贴面板，所有外</w:t>
            </w:r>
            <w:r>
              <w:rPr>
                <w:rFonts w:hint="eastAsia" w:cs="宋体" w:asciiTheme="minorEastAsia" w:hAnsiTheme="minorEastAsia" w:eastAsiaTheme="minorEastAsia"/>
                <w:color w:val="auto"/>
                <w:szCs w:val="21"/>
                <w:highlight w:val="none"/>
              </w:rPr>
              <w:t xml:space="preserve">露板边都采用自动封边机选用优质PVC封边，粘力强、密封性好、不吸水、不变形,外形美观、经久耐用,永不脱胶。铝合金框架结构:采用模具成型的专用铝合金型材制作，框架的立柱为圆管，框架的横梁为方管，通过ABS或金属专用连接件组装而成，应保证组装接缝严密，连接牢固，无松动现象。立柱的外径50mm；横梁为两边32mm的方形铝型材材料,应带凹槽，槽的宽度、深度应与所采用的柜体板材相匹配，接缝严密，无晃动现象。整体耐腐蚀、防潮、稳固耐用。可调脚：采用ABS工程塑料模具成型制作而成，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1.规格：≥1000*500*2000mm。2.材质：PP材质。3.柜体：侧板，顶板及底板采用增强型PP材质，一次注塑成型。表面做磨砂处理，结构紧密，耐腐蚀性强。</w:t>
            </w:r>
            <w:r>
              <w:rPr>
                <w:rFonts w:hint="eastAsia" w:cs="宋体" w:asciiTheme="minorEastAsia" w:hAnsiTheme="minorEastAsia" w:eastAsiaTheme="minorEastAsia"/>
                <w:color w:val="auto"/>
                <w:szCs w:val="21"/>
                <w:highlight w:val="none"/>
              </w:rPr>
              <w:t xml:space="preserve">4.上柜门：采用增强型PP材质一次注塑成型，外嵌5mm钢化烤漆玻璃,中间玻璃做镂空处理，透明可视。5.下柜门：采用增强型PP材质一次注塑成型，外嵌5mm钢化烤漆玻璃。6.层板：配两块活动层板，层板为增强型PP材质一次注塑成型，承重≥20公斤。美观耐用。层板可以抽取，自由组合各层空间。7.门把手：采用增强型PP材质一次注塑成型，美观耐用。8.门铰链：用增强型PP材质一次注塑成型，内嵌隐藏安装方便，耐腐蚀。9.仪器柜内部无可视金属材料，确保了仪器柜的耐腐蚀性及耐候性。10.柜体预留通风系统，可以与通风管路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（1F+2F）心理健康教育中心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（1F）沙盘教室 52人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石英钟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12寸石英挂钟静音系列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1、心理知识4幅，用于营造心理辅导室氛围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2、材质:结皮PVC板，厚度约5mm，形态：不规则图形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3、每幅规格尺寸：≥500*430mm。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心理挂图中的图片所包含内容有心理制度、心理学家、不可能图形、两歧图形、错觉图形、心理趣味图和主题统觉图片以及励志，积极向上等图片。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内芯材质: 高清相纸；装裱方式: 黑色铝合金边框，环保透明面板；风格: 简约现代；工艺: 喷绘；风格: 工艺: 喷绘；组合形式: 独立；图片形式: 平面；可免拆边框更换内芯。含框尺寸: ≥440*570mm。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幅</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（1F）团辅教室 48人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根据教室内容布置心理咨询师标语。不少于5张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实木储物柜一体,工艺包括耐污耐刮层,加固木板层,实木木芯层,长宽高：≥140*30*75cm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（2F）悦纳室&amp;放松室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1、尺寸：底部圆直径≥50cm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2、填充物为进口EPP颗粒，隐藏拉链可拆洗，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3、占地约0.5-0.6m宽约75-80cm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1、心理格言5幅，用于营造心理辅导室氛围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2、材质:结皮PVC板，厚度约5mm，形态：六边形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3、每幅规格尺寸：≥620*560mm。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心理挂图中的图片所包含内容有心理制度、心理学家、不可能图形、两歧图形、错觉图形、心理趣味图和主题统觉图片以及励志，积极向上等图片。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内芯材质: 高清相纸；装裱方式: 黑色铝合金边框，环保透明面板；风格: 简约现代；工艺: 喷绘；风格: 工艺: 喷绘；组合形式: 独立；图片形式: 平面；可免拆边框更换内芯。含框尺寸: ≥440*570mm。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幅</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VR虚拟绘画一体机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一、产品组成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1、处理器：8核64位架构，主频≥2.6GHz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2、内存：≥6GB LPDDR4x；</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3、WIFI：支持802.11ac（WiFi5）及以上无线协议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4、分辨率：≥3200×1800，≥650PPI</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5、刷新率：≥72Hz，最高支持90Hz；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6、视场角：≥90°</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二、产品功能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1、操作界面要求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支持3D可视化操作界面，无需额外插件，用户直接在虚拟的三维场景中进行3D绘画创作，3D绘画作品所见即所得。</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2、操作方式要求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支持用户同时操控2个VR手柄，VR手柄分别对应虚拟绘画场景中的3D绘画工具面板及3D画笔，VR绘画面板操作简单、易上手。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3、移动方式要求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支持用户在三维虚拟空间中自由移动行走，调整创作位置，用户既可以通过操控VR手柄完成移动行走，也支持用户在物理空间行走完成移动。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▲4.主题风格模板要求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预置不少于15套3D绘画主题模板，覆盖自然海底、城市建筑、国风古风、传统节日、科幻太空、卡通形象多类题材，支持快速草图创作。</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5、色彩调整要求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支持虚拟绘画调色盘，包含256级的RGB色彩，总计能组合出约1677万种色彩，从而能够模拟真实的绘画色彩视觉呈现效果。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▲6、3D绘画笔刷要求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提供不少于35种个性化3D立体绘画笔刷，分为基础实体笔刷、粒子特效笔刷两类；基础笔刷支持厚涂、油画、马克笔、粉笔、描边、立体塑形等效果，特效笔刷支持火焰、雪花、彩虹、烟雾、花瓣、闪电等动态粒子效果，满足多元化创作需求。</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7、背景可选要求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内置不少于15种创作天空盒背景，涵盖星空夜景、太空科幻、自然山水、水墨国风、节庆盛世、空中岛屿等多种风格，用户可自由切换。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8、删除操作要求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用户可以对自己绘制不满意的笔画进行选择性删除。</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9、撤销操作要求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用户可以对自己绘制的笔刷进行撤销。</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10、作品参考模型要求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内置不少于18种基础3D几何参考模型，包含常规几何体、标准人台、卡通造型、工业结构模型等，支持对模型自由缩放、摆放辅助构图。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11、历史绘画作品载入要求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用户可以载入历史绘画作品，在载入过程中，将重现历史绘画的过程，亦可以对历史作品进行二次创作。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12、作品保存和展示要求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用户在三维虚拟绘画空间任意角度拍照和录像二种方式保存作品，其中视频拍摄方式要求不少于2种。拍照保存后的照片要求：分辨率≥1920*1448、格式：png。录制保存后的视频要求：分辨率≥1280*720、格式：MP4。</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13、画廊展示平台要求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支持内置云端画廊展示平台，支持用户注册、作品上传、点赞、收藏、评论、浏览量统计。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14、其他辅助工具要求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支持层级管理、吸色、直尺、镜像、复制、重新上色等快捷辅助功能。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AI心育自助服务系统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一、产品功能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系统主要分为心理自助资源、AI心理助手、互动训练、舒压训练营、预约咨询、紧急援助、心理测评等不少于7个功能模块。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1、心理自助资源:提供包括但不限于三大模块的心理自助服务，包括心理学基础与自我认知、情绪管理与健康及运动放松调节等；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（1）支持心理自助课堂：提供包括但不限于热爱老师、笑看挫折、心胸开阔、虚心好学、异性交往、责任担当等不少于6个主题类的视频内容；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（2）支持心理自助训练：提供包括但不限于热爱老师、笑看挫折、心胸开阔、虚心好学、异性交往、责任担当等不少于6个主题类的视频内容；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AI心理助手：内置智能助手模型，默认开启心理倾诉模式，支持实时语音交互。可根据使用场景一键切换，并提供历史对话记录查看功能。AI问题解决：提供专业心理辅导模型，搭载智能语音交互，针对用户常见日常心理问题，通过多轮引导式对话，收集问题表现与深层成因；并在此基础上综合分析，生成个性化解决方案，同时智能推荐匹配的视频内容与测评量表资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3、舒压训练营：提供认识压力、身体解压、思维调整三大模块，帮助学生了解自我压力、科学舒缓压力、重塑抗压思维、提升心理韧性，并生成对应报告和推荐资源内容。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（1）认识压力：支持问卷测量当前压力水平，并提供AI智能问答，采集学生压力相关信息，生成报告。报告内容涵盖压力状态与等级、影响因素、压力详情和压力建议。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（2）身体解压：提供解压方案问卷，收集学生舒缓压力需求和喜爱的技巧，生成日常生活建议、压力舒缓建议和参考视频。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（3）思维调整：支持互动答题，并在作答过程中给予针对性的引导提示与反馈，作答结束后提供可实践的“思维调整锦囊”。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心理测评：系统内置四大类心理测评主题：心理健康综合评估、行为与情绪问题评估、生活与事件评估、人格与智力评估，共配置不少于30套专业量表。同时支持在后台灵活配置量表使用权限，可按需开启或关闭学生的量表作答权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5、支持互动训练：提供专注力训练、情绪主题、认知主题等训练模块；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（1）专注力训练：提供黑桃A、圈数字、观察力训练、反应力训练、舒尔特方格等训练项目；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（2）情绪主题：情绪主题提供包括但不限于情绪区分、情绪来源、情绪识别等情绪训练项目，训练后提供情绪的识别、认知性情绪、条件性情绪等视频内容学习；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①情绪主题训练包括但不限于：（你会区分积极情绪与消极情绪吗？你知道情绪有几种来源吗？你能从成语中识别常见的潜意识条件性情绪反应吗？）不少于3个训练内容，训练后可进行情绪识别、认知性情绪、条件性情绪视频内容的学习；</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（3）认知主题：认知主题提供包括但不限于被老师批评了、考试没有考好、调整情绪还是会焦虑等不少于3个认知训练项目，训练后提供知识与思维、行为间的关系，情绪与思维关系的视频内容学习；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①认知主题训练包括但不限于：（如果被老师批评了，心情不好时，你应该怎么想”？考试没有考好，你心情不好时，应该怎么想”？运用深呼吸、运动等方式来调整情绪，可是我有时还是会感到焦虑怎么办？）不少于3个训练内容，支持答题后给出对应的指导提示和视频内容学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6、支持预约咨询：支持在线预约咨询服务功能和设备在线预约功能；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（1）支持在线预约，查看预约咨询信息，包括可预约的心理老师姓名、心理老师简介、具体时间等，预约时，须填写申请原因并选择咨询时段，可对预约信息进行取消操作；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（2）支持查看预约心理设备信息，包括设备介绍、可预约时间等；选择心理设备进行预约；可对预约设备进行取消操作；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★7、支持紧急援助：帮助用户在危急情况下迅速联系到紧急联系人；</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8、支持动态屏保：支持设备屏保功能的开启和关闭；</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9、支持个人信息管理：支持记录头像、昵称、性别、年龄、出生年月、学校、年级和班级信息等。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二、产品组成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1、使用终端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（1）屏幕分辨率：≥1920*1080；</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（2）处理器：不低于四核，最高主频2GHz；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（3）内存：≥4G；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（4）储存空间：≥32G；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（5）音频接口：喇叭输出（支持左右声道输出，最在支持双20W/4R，10W/8R），MICIN*1；</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（6）USB接口：≥1个USB3.0OTG，≥6个USBHOST；</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（7）串口：≥2个232，≥2个TTL；</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（8）网络接口：10/100BASE-T以太网接口，内置Wifi，支持蓝牙4.2；</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（9）摄像头：有效像素≥1928*1088；有效焦距≥4.43mm；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2、表面材质：前覆钢化玻璃；</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3、机体工艺：铝合金氧化边框；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4、听筒：ABS材质，内装有磁铁，配合感应挂架实现摘挂机，配置不锈钢金属软管。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石英钟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12寸石英挂钟静音系列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活动宣传展示墙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软木板毛毡墙，尺寸≥120*80cm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材质：密度板 、彩绘，尺寸≥22*32*12cm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1、心理格言7幅，用于营造心理辅导室氛围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2、材质:结皮PVC板，厚度约5mm，形态：圆形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3、规格尺寸：小图直径320mm，中图直径430mm，大图直径460mm。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（1F）心理咨询室（个体辅导室）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石英钟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12寸石英挂钟静音系列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录音用，内存不少于32G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AI心理投射交互系统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一、产品功能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1、支持AI全维心灵透视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（1）重点标注解析：系统支持用户对绘画作品中的特定区域进行自定义标注。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（2）房树人（HTP）AI智能识别；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（3）AI报告生成：绘画测评完成后，支持生成全维度深度解析报告；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（4）场景库：内置沉浸式心理创作场景；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（5）生理数据实时交互：支持外接脉搏血氧仪等传感器设备，实时采集受测者的心率、血氧等生理数据。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2、支持房树人绘画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（1）测试对象：绘画测试适用于所有人群；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（2）测试实施：系统支持独立测试或搭配多台设备在线测试，前端设备完成后可在后台查看到用户完成数据；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（3）房树人绘画支持在线绘画和图库上传。在线绘画提供模拟真实纸笔绘画环境，通过图库上传，一键提交作品；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房树人绘画支持包括但不限于画笔调节、颜色选择、橡皮调节、撤销、清空画板等功能。画笔调节支持在≥1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★（5）支持查看绘画记录：画笔开启后自动进行绘画过程录制，结束后自动上传至服务器，支持绘画全过程录像回放；</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3、支持报告权限管理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（1）修正报告包括但不限于①老师点评：支持老师按作品理解、结构分析、评价与反馈、个性化建议的步骤和准则对作品进行专业点评和评估。②描述分析：提供不少于230幅图文的房树人特点描述；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（2）报告查看：系统支持根据分析结果查看生成报告；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（3）绘画点评：针对绘画分别从整体、房子、树木、人物进行分析，针对作品进行记录和点评；</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4、支持曼陀罗绘画：可以在遵循传统曼陀罗结构的基础上进行创作；提供多种预设曼陀罗图案模板、支持画笔工具选择，支持不少于20种颜色选择；可记录并保存创作过程及成果；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5、支持想象绘画：内置沙漠、海洋、草原、森林、雪地等多种场景灵感库；提供不少于50个多类型元素添加组合功能；支持元素放大、缩小等控制功能；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6、支持临摹绘画：内置不少于30幅临摹图案；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★7、支持绘画作品：查看房树人绘画、曼陀罗绘画、想象绘画、临摹绘画等类型作品，可查看测试者姓名、年龄、年级班级、完成时间、出生日期、联系方式、学校名称、绘画作品等信息；</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8、支持与云平台实现用户数据对接，实现用户信息的录入、保存、批量导入、删除、报告查看，数据分析等管理功能。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二、产品组成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1、使用终端：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（1）分辨率：≥1920*1080；</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（2）处理器：不低于四核，最高主频2GHz；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（3）内存：≥4G；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（4）储存空间：≥32G；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（5）音频接口：喇叭输出（支持左右声道输出，最在支持双20W/4R，10W/8R），MICIN*1；</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（6）USB接口：≥1个USB3.0OTG，≥6个USBHOST；</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（7）串口：≥2个232，≥2个TTL；</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（8）网络接口：10/100BASE-T以太网接口，内置Wifi，支持蓝牙4.2；</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（9）摄像头：有效像素≥1928*1088；有效焦距：≥3.95mm；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2、表面材质：前覆钢化玻璃；</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3、机体工艺：冷轧钣金；</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4、无线采集器：测量血氧饱和度和脉率，OLED显示。尺寸≥55mm*35mm，血氧饱和度测量范围0-100%，脉率测量范围25-250bpm。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心理文化墙装饰画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1、心理知识5幅，用于营造心理辅导室氛围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2、材质:结皮PVC板，厚度约5mm，形态：不规则图形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3、每幅规格尺寸：480*480mm。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制度挂图</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心理挂图中的图片所包含内容有心理制度、心理学家、不可能图形、两歧图形、错觉图形、心理趣味图和主题统觉图片以及励志，积极向上等图片。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内芯材质: 高清相纸；装裱方式: 黑色铝合金边框，环保透明面板；风格: 简约现代；工艺: 喷绘；风格: 工艺: 喷绘；组合形式: 独立；图片形式: 平面；可免拆边框更换内芯。含框尺寸：≥440*570mm。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幅</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（1F）接诊室+检查室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办公桌椅为简约现代风格，材质采用厚度≥25mm环保板材，面板具有树脂保护膜，耐摩擦不褪色。办公桌规格：≥1200mm*600mm*750mm。配套人体工学网面办公椅1把，舒适柔软，回弹性好。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休闲放松沙发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材质：优选3D立体面料，高回弹定型海绵。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尺寸：沙发直径约90cm，高约65cm；脚踏直径约50cm，高约30cm。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360度可左右旋转，可旋转底盘+超静音防滑脚垫</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学生图书馆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校园阅读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1、门户灵活定制管理：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（1）门户配置：提供灵活的界面管理工具，以可视化的方式配置区域需要的展示智慧教育阅读门户，同时支持对个别展示条目的特别定制和调整。</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（2）多终端配置：针对移动门户、电脑端门户、个人空间配置学生、教师和管理员不同角色的展示内容。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2、课程资源体系：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▲为教师提供不少于100门、不少于1000学时的阅读课程，主题需围绕包含素养课、专业课、拓展课三部分。</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3、阅读资源体系：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（1）分级阅读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平台为学生提供小初高12个年级的图书，支持分12个年级筛选查看；根据儿童心智发展知、情、意三大结构，分级进阶原则，根据不同学段学生的语言能力、思维水平、情感需求及动机兴趣，结合图书自身的特点，平台对图书进行分级分类分主题管理，不少于6个级别，不少于30个主题，满足学生的不同阅读需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（2）有声书屋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提供不低于5000集的经典图书并匹配标准阅读、配乐的有声资源，支持按照音频章节选择播放。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（3）视频导读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提供不低于400集的导读资源，以视频的形式呈现资源，支持进度拽和全屏显示等基本操作。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（4）电子期刊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与优质期刊出版机构合作，内置期刊达200种以上，包含《花火》、《红领巾》、《用户》、《大家》、《七彩语文》、《南风》等多种优质的基础教育适读期刊。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4、分级阅读体系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（1）阅读测评</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①海量题库支持：校园阅读系统提供不少8w道题库，覆盖不低于788本图书。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②题型丰富：支持单选题、判断题等多种题型，并且题目内容支持纯文本、图片等富媒体形式。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③智能组卷：系统提供科学的默认组卷方式，支持教师直接发布任务无需组卷。</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④自主组卷：教师根据自己的需求自行组合测评试卷，并根据需求发放给不同的班级，每个班级均可实现测评差异化。</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⑤自建题库：教师可根据自己对图书的理解出题，并支持加入测评试卷，题目可以自主选择共享，审核通过后题目可实现全网共享。</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⑥防作弊机制：组卷后题目可以自动实现题目顺序随机，题目选项随机，限定每本书每日只能测评一次，通过测评后不允许再次测评，防止作弊与刷题现象，并且系统可以自动识别作弊行为，将学生列入警告名单发送给学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⑦题目监控反馈：测评题目在后台可以进行数据分析，并根据题目的使用人数，正确率波动范围，进行大数据反馈及时修正题目出现频率和评价，实现题库的智能自我优化。</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（2）阅读计划①计划自主：教师根据班级阅读数据分析为依据，可以为班级学生发布阅读计划，并快捷规划阅读时间。②计划多样化：教师可发布多种类型的计划，包含阅读测评、阅读打卡、写作等。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5、阅读教学体系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（1）阅读课程匹配整本书完整的阅读教学设计、PPT，辅助阅读材料与教学素材：如在线阅读材料、打印物料、阅读计划表、活动表单、多媒体教学素材等。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（2）要满足课程配套资源、数据反馈，形成课程研修闭环。针对阅读培养的不同板块，设计不同类型的课程，提供视频讲解、图书推荐、拓展阅读等内容，记录研修成功。</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b/>
                <w:color w:val="auto"/>
                <w:szCs w:val="21"/>
                <w:highlight w:val="none"/>
              </w:rPr>
              <w:t xml:space="preserve">▲6、提供校园阅读系统软件著作权登记证书扫描件</w:t>
            </w:r>
            <w:r>
              <w:rPr>
                <w:rFonts w:hint="eastAsia" w:cs="宋体" w:asciiTheme="minorEastAsia" w:hAnsiTheme="minorEastAsia" w:eastAsiaTheme="minorEastAsia"/>
                <w:b/>
                <w:color w:val="auto"/>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（2F）物理数字化分组实验室（48人）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教师演示台，左边设有储物柜，中间段设有抽屉位（教师电源主控系统），电脑键盘位，右边设有多媒体设备位置预留，三节模块拼接组成。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⑴.桌身整体材料1.0mm(±0.2mm)冷轧钢板，整体规格2400×700×850mm(±5mm)，所有金属表面经环氧树脂粉末喷涂高温固化处理和耐酸碱、耐腐蚀。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⑵.滑道导轨：抽屉全部采用优质三节承重式滚珠滑道开合十万次不变形。铰链：采用优质铰链，开合十万次不变形。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⑶.脚垫：采用柜体内置可调ABS脚垫，保证桌面平整，防水防潮，延长设备使用寿命。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3、台面要求：采用≥15mm厚新型整张无拼接陶瓷台面。台面表面为实验室专业耐磨、高硬度、安全美观釉面。釉面与胚体经高温一体烧结而成，不脱落、不脱层。为满足实验室对台面苛刻的要求。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教师智能电源主控台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1.结构参数：教师智能电源主控台面板基材是2mm绝缘电工板；面纸采用耐磨、耐腐蚀、耐高温的PC亮光薄膜面板；规格：420×220mm；界面文字清晰美观。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3.技术参数：采用商业级10.1寸触摸显示屏；24位彩色显示；双8051单芯片驱动方案；GUI核运行；界面清晰明了。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4.智能电源管理系统：默认账号登录；可显示当前北京时间、中文星期和温湿度。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⑴.教师自用电源：可输出交流0-30V，分辨率1V，直流0-30V，分辨率0.1V，配备虚拟数字表实时显示电流，显示分辨率为0.01A，具备过流短路保护功能。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⑵.直流高压：输出直流240V/300V高压，小电流过载短路保护。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⑶.直流大电流：输出直流低压大电流延时输出，延时20S自动关断，也可手动随时开启或关断，实时显示当前状态。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⑹。电子举手功能：分A、B、C、D四组，当老师开启提问状态时；学生反馈举手功能，在老师界面上实时显示举手状态与位置。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⑺.系统设置：该界面可设置教师编号、关机时间、开机验证方式以及语音播报是否开启。多样性的修改选项，包括但不限于设备参数、出厂设置、密码更改和时间设置等。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⑻.教师端语音播报功能：系统为教师端配备智能语音辅助系统，提供实时操作引导，电源相关功能触发时自动播报。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1、规格:500×500×800mm(±5mm)。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2、靠背及下座采用高密度网布格，阻燃、舒适、回弹性好。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3、面料为优质网布格.依照人体工程学设计，线条流畅，美观大方。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4、骨架钢管电镀，气动升降。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学生实验桌（陶瓷面板）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1、桌子整体外形规格：≥1200×600×780/900mm。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2、一体化台面：采用≥20mm厚无甲醛新型环保陶瓷台面，台面表面为实验室专业耐腐蚀、耐刻刮、耐污染釉面。坯体一体实芯黑色坯体，釉面和坯体经高温一体烧制而成。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3、“陶瓷板”需满足如下参数要求：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（1）外观要求：外观为五面坯体，表面釉面为烧成颜色；坯体敲碎后，无空洞、无直径2mm以上气泡、无杂色，为一体实芯坯体；釉面与坯体之间无脱层，釉面与坯体呈一体结构，釉面为烧成颜色，非坯体颜色。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（2）台面表面耐污染性能:检测内容不低于 60种试剂</w:t>
            </w:r>
            <w:r>
              <w:rPr>
                <w:rFonts w:hint="eastAsia" w:cs="宋体" w:asciiTheme="minorEastAsia" w:hAnsiTheme="minorEastAsia" w:eastAsiaTheme="minorEastAsia"/>
                <w:color w:val="auto"/>
                <w:szCs w:val="21"/>
                <w:highlight w:val="none"/>
              </w:rPr>
              <w:t xml:space="preserve">，至少含氢氧化钙饱和溶液、二氧六环99%、甲酚红、乙醇99%、王水、红药水、硝酸银、立顿红茶(9g/L)、氢氧化钾、硝酸65%、硫酸98%、二甲苯、高氯酸72%、二甲基甲酰胺99%、乙醚99%、糠醛99%、甲苯99%、过氧化氢、仁和碘酒、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（3）抗冲击性能：为保证台面使用的安全性，台面抗冲击性（恢复系数）不低于0.854。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（4）台面表面耐冷热循环性能：为避免热胀冷缩对台面造成的伤害，检测结果需达到台面表面无裂纹无鼓包现象。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（5）颜色稳定性：为保证台面的美观度，耐光色牢度不低于4级。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4、折叠学生桌整体钢铝结构；桌腿设计为上下两段折叠结构；学生位镂空式，易碰撞部位均采用倒圆角；处理金属表面经环氧树脂粉末喷涂高温固化处理。技术参数要求满足如下：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（1）台面三围栏：前围栏≥1155×15×77mm铝合金型材；左右围栏规格≥405×25×77mm铸铝成型，围栏高出桌面≥50mm；防止仪器设备掉落的风险。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（2）桌面前围栏上端功能围栏；功能围栏横杆：≥1176×14×24mm铝合金型材；围栏横杆底座铸铝成型；高出桌面≥120mm。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（3）台面支框架≥20×30mm距形方钢管焊接成型。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（4）桌腿上段“T”字型铸铝成型≥400×48×250mm，壁厚度2.5mm(±0.2mm)。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（5）铸铝功能合页镶入立柱上端，规格≥110×40×49mm，将“T”字型铝铸件与立柱相扣连，折叠角度最大可达90°。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（6）铝合金型材立柱，规格≥110×40×450mm。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（7）支撑梁：≥20×40mm 椭圆无缝钢管，两端与5mm厚钢制连接片焊接，并用高强度内六角螺丝连接链接到左右两侧立柱脚上，便于组装及拆卸。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（8）桌腿横梁加固件：规格≥100×35×200mm(±2mm)，厚度为：3mm(±0.2mm)。铸铝成型，悬臂式结构，用螺丝安装在左右横梁与桌腿上，拆装方便（非焊接式安装）确保实验桌牢固度。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（9）下脚采用铸铝成型规格：≥565×60×53mm。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5、书包斗：改性环保PP注塑成型，前沿设挂凳口，底部设有加强筋加固。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6、电源盒：ABS 注塑成型，前口翻盖式弧面设计。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升降学生实验凳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四支凳脚椭圆形无缝钢管抓地，凳面PP改性塑料一次性注塑成型，冷轧钢板凳面圆形托盘，螺杆式旋转可调升降，整体规格：ф300×（450）≥500mm±0.2mm。所有的金属表面经环氧树脂粉末喷涂高温固化处理耐酸碱、耐腐蚀等特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（1）凳面环保型PP改性塑料一次性注塑成型；规格ф305mm(±5mm)；厚5.8mm(±0.5mm)；凳面表层有颗粒凸起花纹；防滑、按摩、抗疲。</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（2）凳面高低调节升降螺杆旋转，调节范围450mm-500mm自由调节。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（3）凳脚架四支凳脚椭圆形无缝钢管；规格34×16mm；厚度1.4mm(±0.2mm)，凳脚架焊接全圆满焊接。</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（4）凳面托盘冷轧钢板；规格ф220mm(±0.2mm)；厚度2.2mm(±0.2mm)，钢板托盘有凹凸冲压成型加强筋，使凳子更加稳固。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（5）脚垫PP加耐磨纤维质塑料，实心倒勾式一体成型，防止防滑和保护地板划痕。</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w:t>
            </w:r>
            <w:r>
              <w:rPr>
                <w:rFonts w:cs="宋体" w:asciiTheme="minorEastAsia" w:hAnsiTheme="minorEastAsia" w:eastAsiaTheme="minorEastAsia"/>
                <w:b/>
                <w:bCs/>
                <w:color w:val="auto"/>
                <w:szCs w:val="21"/>
                <w:highlight w:val="none"/>
              </w:rPr>
              <w:t xml:space="preserve">提供“升降学生实验凳”具有法定资质的第三方检测机构出具的检测报告扫描件，且满足如下参数要求：</w:t>
            </w:r>
            <w:r/>
          </w:p>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（1）力学性能－椅凳类稳定性：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凳子任意方向的倾翻试验，垂直加载 600N，水平加载20N，应无倾翻。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（2）外观性能－金属件外观：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①管材：管材应无裂缝、叠缝；外露管口端面应封闭；圆管和扁线管弯曲处弧形应圆滑一致；</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②焊接件；焊接处应无脱焊、虚焊、焊穿、错位；焊接处应无夹渣、气孔、焊瘤、焊丝头、咬边、飞溅；焊接处（焊疤处）表面波纹应均匀；</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③喷漆（塑）涂层：应无漏喷、锈蚀、脱色、掉色等；应光滑均匀，色泽一致，应无流挂、疙瘩、皱皮、飞漆等；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1、结构参数：注塑模具化成型，四角直角造型，功能柱上端带有电源插座和网络接口，免螺丝安装检修口活动板，底脚两侧带与地面带安装孔，内部隐藏实验线管及通风管道，左、右合并拼接而成。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2、技术参数：整体规格378×180×740mm(±5mm)，壁厚2.5mm，采用PP材料，免螺丝安装检修口活动板规格：≥223×132mm.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学生智能安全实验电源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1、结构参数：学生智能安全实验电源面板基材是绝缘ABS注塑一次成型；面纸采用耐磨、耐腐蚀、耐高温的PC亮光薄膜面板；规格：157×94mm(±2mm)；界面文字清晰美观。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2、学生电源信息显示：采用1.8寸彩色TFT为显示界面，配合高速MCU可流畅显示GUI。</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四路多功能轻触开关为控制主体，在不同状态下实现不同功能，具体详细参数如下：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⑴.交流电源：输出0-30V交流，分辨率为1V，电流实时显示，显示分辨率为0.01A，具备过流短路保护。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⑵.直流电源：输出0-30V直流，分辨率为0.1V，电流实时显示，显示分辨率为0.01A，具备过流短路保护。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⑶.插座高压：输出交流220V电源，由老师控制，界面有实时状态显示。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⑷.过载保护：当低压电源有过流或短路时，电路实现过载保护功能，此时界面提示过载，随后应检查实验电路或负载是否正确，排除问题后可按任意按键实现电源复位。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⑹.电子举手：当老师有提问时，界面可显示老师提问状态，可选择性举手，老师可在主控端实时显示学生举手状态及位置。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全室安装调试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包含全屋桌椅安装，系统控制调试，对整套系统进行全面控制功能调试等。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（2F）物理数字化分组实验室探究器材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教师端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▲12、连接方式：USB 有线连接；蓝牙无线连接；</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15、固件升级：固件可通过USB接口进行升级；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1.支持Windows、Android、iOS/iPadOS、HarmonyOS、macOS、Linux、统信UOS、麒麟等操作系统。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1.用于测量电路、电器两端的电压。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6.可以对微小的电压变化快速采样。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1.量程：-30V~30V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4.输入阻抗：2MΩ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1.用于测量电路中的电流。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6.可以对微小的电流变化快速采样。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1.量程：-1A~1A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4.内阻：0.22Ω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传感器正面为电源指示灯，前端为探头插孔，前端管壁内为霍尔效应元件，后端为Lightning接口，附件为磁感应强度探头。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1.用于测量磁场的磁场强度。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5.磁场传感器探头为为3.5mm耳机插头，耳机插孔式连接，无干扰。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1.量程：-64mT~64mT</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3.分辨率：0.04mT</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传感器造型方正，上端有三个开孔，背面有与实验器材搭建的M6国标接口，可适用于多种固定方式；下端为力传感器接口，可拧上钩子（测量拉力）或托盘（测量推力），侧面为Lightning接口线。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1.用于测量拉力或压力。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1.量程：-50N~50N</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3.分辨率：0.03N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传感器正面为电源指示灯，前端内置有超声波收发装置，后端为Lightning接口.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1.用于测量物体运动的位移。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1.量程：20cm~600cm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1.用于测量电路中的微电流。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6.可以对微小的电流变化快速采样。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1.量程：-10μA~10μA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3.分辨率：0.01μA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4.内阻：0.22Ω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分体式位移传感器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分体式位移传感器分发射器和接收器两个部分，接收器一端带有Lightning接口线与采集器通用接口进行连接使用。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1.用于测量物体间的位移。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相对压强传感器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传感器正面为电源指示灯，前端为压强软管（配有鲁尔头），后端为Lightning接口。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1.用于测量大气环境下与被测量空间内的气体的压强差。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1.量程：-20kPa~20kPa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快速温度传感器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传感器正面为电源指示灯，前端为探头插孔，后端为Lightning接口，附件为快速温度探头。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1.用于测量物体表面、气体、无腐蚀性酸碱等液体的温度。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3.快速温度探头为为3.5mm耳机插头，耳机插孔式连接，无干扰。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1.量程：-25℃~100℃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2.精度：±0.8℃</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无线智能双路光电门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整体为门式结构，正面有1.44英寸显示屏、光电门接收口、电源开关及功能按键、电源指示灯、工作状态及蓝牙指示灯，侧面有拓展连接另一双路光电门的网口、Type-C接口，光电门顶部、两侧和门内侧设有六个用于固定的螺丝孔。</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1.用于测量物体通过光电门的速度和加速度等物理量，且无需给出物体尺寸。</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2.传感器内置蓝牙无线模块，使用蓝牙5.0技术，低功耗运行和待机。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4.双光电门设计，可以更方便测量物体运动的时间、速度、加速度等值。</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▲5.内置的光电门接收口，与激光器一起使用，可以对较大的物体计时。比如：测量篮球抛出的速度、扳扔在光滑水平面上推出后的位移等。</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▲6.使用穿过光电门条带插槽的栅带，可测量不规则物体的运动。比如：研究自由落体等。</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7.传感器具有唯一蓝牙编号，便于数据终端选择性连接。</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8.光电门机身上具有多个开孔，方便固定于测量轨道上，也可在光电门内安装滑轮。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9.无需校准，即连即用。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▲10.连接方式：蓝牙无线或有线。</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11.节能方式：传感器打开电源，但无连接或连接无活动，几分钟后自动关闭电源。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12.支持固件空中升级。                                                                                               13.支持平台：Windows、Android、iOS/iPadOS、MacOS、 Linux、Harmony OS、统信UOS、麒麟等。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1.量程：0~1h</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2.分辨率：10µs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3.精度：±10µs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4.连续使用时间：≥20小时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5.通讯距离：≥30m（空旷无遮挡）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6.可充电锂电池，电池型号：3.7V 1000mAh</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声强传感器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传感器正面为电源指示灯，前端内置有声强探头，后端为Lightning接口。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1.使用驻极体话筒采集声音信号，用于测量声音的强度(dB)。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1.量程：40dB~92dB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2.精度：±4dB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3.分辨率：0.1dB</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充电坞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一、外形及材质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外形尺寸：≥342mm×198mm×228mm（含防尘罩）；基座材质：ABS；防尘罩材质：透明ABS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二、技术参数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输入电压：85 ~ 264VAC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输入电流：1.4A/115VAC  0.85A/230VAC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频率：50/60Hz</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输出（单通道）：5V /2A DC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由充电坞、电源线、防尘罩组成。充电坞含有5个独立的充电位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四、功能和应用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1.专为智能数字实验盘设计的充电装置，可同时对5台实验盘进行充电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2.每个充电位相互独立，采用触点式充电，实验盘即插即充，操作方便，充满自动断电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3.每个充电位可输出5V/2A充电电压/电流，充满1个实验盘只需3小时。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小车控制部件、小车（内置力传感器（-10N～10N），2.0与4.0双模蓝牙模块，1000mAh锂电池）、轨道*2（600mm，含三种不同摩擦面：软木塞面、毛毡面、聚四氟乙烯面）、金属配重块、电源适配器、数据线、蓝牙适配器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1.用于摩擦力实验，探究摩擦面、压力、运动速度、接触面积等因素对摩擦力大小的影响。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2.小车控制部件拉动小车在轨道上匀速运动，通过内置的力传感器测得小车在运动过程中所受拉力的大小，并在Windows、安卓、iOS系统终端上实时呈现数据。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3.小车控制部件内置可调匀速电机，提供快、中、慢三档速度，具有正转、反转、停止功能；通过切换不同的档位改变小车运动速度，探究运动速度对摩擦力大小的影响。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4.通过翻转小车方式改变接触面积，探究接触面积对摩擦力大小的影响。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5.轨道与控制部件插拔式连接，便于轨道面的快速更换，通过更换不同的轨道面来探究摩擦面粗糙程度对摩擦力大小的影响。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6.通过添加金属配重块的方式改变压力大小，从而探究压力对摩擦力大小的影响。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7.小车控制部件内置位移识别装置，支持轨道末端小车智能停止功能。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8.轨道内置测力识别区域，使测量数据更加精确。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9.通过移动终端扫描仪器上的二维码可浏览该仪器配套的实验指导和使用说明。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10.可支持有线、无线两种工作方式。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11.配套专用实验软件，预设模板，单次测量自动记录，多次测量自动计算出平均值，以表格和曲线等形式自动记录数据变化情况，实验结果更直观明显。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摩擦面粗糙程度、压力、运动速度、接触面积等因素对摩擦力大小的影响等实验。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估测大气压强实验器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针筒、针筒后盖、堵头、金属推拉杆、硅胶垫圈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1.用于估测大气压强实验，利用大气压力和针筒横截面积计算大气压强。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2.实验器拉杆上有螺纹，与传感器适配性好，可直接旋入力传感器，测量大气压力的变化，并在Windows、安卓、iOS系统终端上实时呈现数据。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3.针筒外壳坚固，不易变形，筒身标有刻度及直径大小，方便进行受力面积计算。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4.一体化设计，实验环境搭建简单，易操作。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5.配套专用实验软件，预设模板，单次测量自动记录，多次测量自动计算出平均值，以表格形式自动记录数据变化情况，实验结果更直观明显。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估测大气压强等实验。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电机管组件（含风机、三节通风管（粗、中、细不同管径））、支撑座、软管*3（含鲁尔公接头）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1.用于探究流体压强和流速的关系实验。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2.三节不同管径的通风管，按照粗中细异形接通，风机使气流通过通风管，配合相对压强传感器可一次性测得不同流速的流体的相对压强，在Windows、安卓、iOS系统终端上实时呈现数据。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3.通风管采用三色设计，易分辨，搭建简单高效。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4.通风管颜色标识与软件一致，可快速分辨不同流速下压强的大小关系曲线。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探究流体压强与流速关系等实验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红光外侧热效应实验器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光源主体（内含卤素灯、凸透镜、散热系统、三棱镜固定座）、屏幕主体（内含白屏固定座、铝制光学导轨、凸透镜聚焦系统、快速温度传感器探头）、三棱镜、白屏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1.用于探究红光外侧热效应实验。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2.通过光源主体发射平行光，经三棱镜折射后在白屏上得到一条明显的光的色散图，配合快速温度传感器可测得不同色光区域的温度，在Windows、安卓、iOS系统终端上实时呈现数据。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3.屏幕主体与光源主体之间做扇形等距移动，保证不同色光测温距离相等，有效降低实验系统误差。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4.光源主体内部卤素灯模拟太阳光光谱，不受光源条件的影响，通电后可随时实验且实验效果更明显。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5.配合快速温度传感器，可在2分钟内看到明显的温度变化。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6.终端软件每次计时30秒，保证不同色光都能达到稳定区间后记录温度。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7.搭配采集器可支持有线、无线两种工作方式。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观察光的色散、探究红光外侧热效应等实验。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光学平台光路实验套件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f=+100mm砖式凸透镜、f=-100mm砖式凹透镜、梯形透镜、三角透镜、半圆透镜、刻度盘、平面镜、条形凹凸面镜、比色皿、平行激光&amp;面LED一体式光源、线光源制造柱、超声波起雾器、塑料盒、光纤、灯箱及附件。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1.用于完整中学物理光路类实验。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2.平行激光器可手动选择同时显示1、3、5条激光。激光平行度高，显示清晰且均匀。单个激光头功率小于1mW，保证使用者的视力安全。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3.线光源制造柱可以调节激光光线重点的显示区域，保证所研究的区域的光路展示达到最佳效果。能够适应桌面的不平整和各类角度板的厚度。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4.面光源面积大，且出光均匀。面光源带弹片夹，可以固定各类大小、厚度的挡光片，甚至可以同时至多叠放3片挡光片。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5.凹、凸透镜都有具体且准确的焦距数值参数。整个砖式透镜系列的宽度统一，方便协调配合。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6.灯箱提供连续光谱的白光（卤素灯），可以进行色散等实验。灯箱附件提供各类挡光片，实现多种功能。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7.角度盘的尺寸及刻度，都和其他部件完美配合。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1.光的直线传播实验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2.探究光反射时的规律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3.镜面反射和漫反射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4.凹面镜的反射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5.凸面镜的反射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6.从空气到玻璃边界的折射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7.探究凸透镜形成图象的特性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8.凹透镜成像的性质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9.组合透镜的光路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10.近视眼及其矫正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11.远视眼及其矫正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12.用棱镜观察光的射散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13.光谱颜色的重新统一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14.确定凸透镜的焦距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15.球面像差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16.探究光折射时的特点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17.两种液体之前的边界处的折射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18.全反射和临界角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19.凹面镜的图象构造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20.凸面镜的图象构造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21.凹透镜的图象构造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22.老年人视力退化及其矫正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23.阴影（本影和半影）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24.光纤导光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光学平台成像实验套件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光学导轨（L=60cm）、f=50mm凸透镜、f=100mm凸透镜、f=-100mm凹透镜、凹凸面镜、光屏、半圆光屏、光具座滑块、T型托盘、自由透镜支架、小孔成像实验器、三色混色仪、LED白光手电筒。</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1.用于完整中学物理成像类实验。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2.整个套系器材中心位置统一，方便将器材的在实验中所用部分的几何中心，校准到目标光轴上。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3.所配光具座滑块的固定方式，即方便移动，又保证在中学光学实验时，足够稳固可靠。</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4.凹、凸透镜，凹凸面镜都有具体且准确的焦距数值参数。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▲5.小孔成像实验器，挡光片为钢片，配合观察筒前端的磁吸功能，稳定可靠且更换方便。有多片挡光钢片可以替换，可以对比不同形状和不同大小的进光孔对实验现象带来的区别。</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▲6.创新式半圆光屏，实现了既能透光，又能成像，大大优化了凹面镜成像实验的实验操作和实验效果。</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▲7.三色混色仪轻小便携，使用方便。使用贴片光源，避免LED灯自带聚光造成的投射面不均匀的问题。每种颜色可以单独开启，方便进行混色和互补色分析。</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1.小孔成像实验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2.探究凸透镜形成图象的特性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3.凹透镜成像的性质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4.照相机成像原理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5.放大镜成像原理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6.显微镜成像原理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7.色光的混合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8.演示凸透镜的汇聚</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9.演示凹透镜的发散</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10.伽利略望远镜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11.天文望远镜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12.互补色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微型L型支架1个、多功能导轨1个（1.2m）、动力学小车1个、L型支架2个、宽L型支</w:t>
            </w:r>
            <w:r>
              <w:rPr>
                <w:rFonts w:hint="eastAsia" w:cs="宋体" w:asciiTheme="minorEastAsia" w:hAnsiTheme="minorEastAsia" w:eastAsiaTheme="minorEastAsia"/>
                <w:color w:val="auto"/>
                <w:szCs w:val="21"/>
                <w:highlight w:val="none"/>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1.用于动力学为核心的包含位移、时间、速度、加速度等物理量等实验。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小车导轨是一套能轻松完成初高中动力学实验的实验平台，实验器功能多样，配件齐全，轨道预留多种传感器固定孔及光电门固定支架，可搭配位移传感器、分体式位移传感器、光电门传感器等不同组合进行实验，测得小车各类运动数据，并在Windows、安卓、iOS系统终端上实时呈现数据，支持各类动力学DIY设计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3.专用动力学小车，车轮刀片式设计，与轨道摩擦小，具有弹簧减震结构，有效保证小车在同一平面直线运动。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4.动力学小车预留力钩柱、紧固件螺口、挡光片的专用手拧螺丝接口，可快速安装对应的拉力组件、砝码、挡光片等配件。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5.滑轮及车轮轮轴摩擦力极小，能有效减小轮轴摩擦对实验的影响。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6.导轨采用铝型材，坚固耐用，导轨两侧标有清晰的刻度，可直接读取小车运动距离，导轨面具有小车运动槽，保证小车不脱轨。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匀变速直线运动的位移与时间的关系、借助传感器用计算机测速度、匀速直线运动的位移、匀变速直线运动的速度与时间的关系、探究加速度与拉力的关系、 探究加速度与质量的关系、用两个光电门测加速度等实验。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压缩气体做功实验器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支架、注射器（100mL）、橡胶管、快速温度传感器探头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1.用于压缩气体做功实验，探究一定质量的气体被压缩时的温度变化。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2.缓慢推动注射器活塞，配合快速温度传感器测量注射器内部空气温度变化，在Windows、安卓、iOS系统终端上实时呈现数据。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3.通过支架固定注射器，避免人手与注射器直接接触，有效减小热传递导致的实验误差。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4.快速温度传感器探头直接测量注射器内部温度，测量数值科学准确。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一定质量的气体被压缩时的温度变化等实验。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电阻定律实验器Ⅱ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亚克力底座、镍铬丝（0.2mm）、镍铬丝（0.4mm）、镍铬丝（0.6mm）、锰铜丝（0.6mm）、铁铬丝（0.6mm）、夹式测试钩1对（带4mm插孔钩）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1.用于电阻定律实验，探究电阻的材料、长度、横截面积对导体电阻大小的影响。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2.电阻定律实验器配合电源、电流传感器，通过传感器测得的电流大小来比较接入的金属丝电阻大小，在Windows、安卓、iOS系统终端上实时呈现数据。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3.夹式测试钩可自由选择接入金属丝的长度，探究导体长度对电阻的影响。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4.提供三种材料相同，直径不同的金属丝，便于探究导体横截面积对电阻的影响。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5.提供三条直径相同的材料不同的镍铬丝、锰铜丝、铁铬丝，探究导体材料对电阻的影响。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6.底座标有刻度及金属丝的名称和直径，并在每条金属丝下方标有长度标记，可直接读出长度数值。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7.通过移动终端扫描仪器上的二维码可浏览该仪器配套的实验指导和使用说明。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探究电阻的影响因素等实验。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阿基米德原理实验器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升降铁架台、电子称托盘组件、重物、溢杯1个、量杯2个、手紧螺丝2个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1.用于阿基米德原理实验，探究浸在液体中的物体所受的浮力的大小等于被物体排开的液体所受的重力。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溢流法，学生更容易理解，配合上下两个力传感器，可直接测量物重和排开水的重力，软件自动记录和计算重物所受浮力与排开水重力进行对比，并以数值、表格、图形等形式在Windows、安卓、iOS系统终端上实时呈现数据，数据采集更精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3.升降铁架台采用齿轮式升降结构，重物下降平稳，有效减小实验误差。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4.重物采用流线体构造，有效减小水面张力等因素对实验结果的影响。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阿基米德原理等实验。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沸点与压强关系实验器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气路组件、螺口锥形烧瓶（250mL）、铁圈（φ100mm）、石棉网、烧瓶夹、烧瓶夹固定块（转接头）、软管固定组件、不锈钢酒精灯</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1.用于探究沸点与压强之间的关系。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2.实验器与传感器适配性好，可配合绝对压强传感器和温度传感器，同时测得水在某个压强下沸腾时温度的大小，并在Windows、安卓、iOS系统终端上实时呈现数据。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▲3.气路组件配有泄压阀（泄压阀安全值150±10kPa），压强过高时会自动泄压，实验更加安全。</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▲4.软管固定组件可保证气路通畅不缠绕，实验环境更整洁，加热更安全。</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5.酒精灯为不锈钢材质，高强度高硬度，经久耐用，灯芯与灯体紧密结合，加注口采用螺口设计，有效防止酒精倾倒造成酒精外流，安全性更高。</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沸点与压强的关系等实验。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焦耳定律实验器（初中）</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面板组件（3Ω电阻丝*2、1.5Ω电阻丝*1、3Ω金属膜电阻*1）、底座组件、杯体组件、传感器固定组件、导线*8</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1.用于探究电流热效应与电流、电阻的关系。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电阻丝对应面板位置有传感器插入孔，与传感器适配性高，配合温度传感器，能定量的反映出电流热效应与电流、导体电阻和通电时间的关系，1分钟内即有明显数据变化，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3.双层保温杯体设计，有效防止热量散失，四周透明化设计，可保证温度传感器探头插入的深度相同。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4.采用不同规格电阻丝，并包含插线孔，方便进行开放式的电路串并联设计，鼓励学生动手搭建。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5.底座具有垫脚，稳定防滑。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焦耳定律等实验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摩擦做功实验器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铜管、桌边夹、温度传感器专用孔塞、摩擦棉绳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1.用于摩擦做功使温度升高实验。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2.拉动棉绳摩擦铜管，配合温度传感器可测得铜管内空气的温度，可在Windows、安卓、iOS系统终端上实时呈现数据。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探究摩擦生热、机械能转化为内能等实验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初中电学实验板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6种实验电路板（含欧姆定律、导体的伏安特性、限流法测灯泡的伏安特性、电阻的串并联、伏安法测电阻、电磁感应现象）、香蕉头导线、鳄鱼夹、9V电池、小灯泡。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每块板的尺寸为：120*75mm。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1.用于初中电学类实验，如欧姆定律、导体的伏安特性、电阻的串并联等。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2.集成电路，实验方便快捷。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3.插拔式接线口，接线简便牢靠，实验稳定。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4.适配电学类传感器测量数值并在Windows、安卓、iOS系统终端上实时呈现，也可接入指针式电表，满足数字化和传统不同形式实验教学要求，实验设计灵活。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5.实验丰富，基本涵盖电学类初中分组及演示实验。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欧姆定律实验、导体的伏安特性实验、限流法测灯泡的伏安特性实验、电阻的串并联实验、伏安法测电阻实验、电磁感应实验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电路1实验箱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1、外形尺寸：437mm*327mm*170mm（两箱叠加高度H=330mm）；材质：ABS；手提翻盖式 ；最大承重：30-35公斤；内部含有内衬，保证每个器材都有对应的存放位置，便于快速、高效的整理和收纳；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3、纽扣式锁合：转动实验箱前侧的锁止机构既可以锁定箱子，也可以实现箱子与箱子之前的锁合，便于携带和搬运                  二、主要配置                                    </w:t>
            </w:r>
            <w:r>
              <w:rPr>
                <w:rFonts w:hint="eastAsia" w:cs="宋体" w:asciiTheme="minorEastAsia" w:hAnsiTheme="minorEastAsia" w:eastAsiaTheme="minorEastAsia"/>
                <w:color w:val="auto"/>
                <w:szCs w:val="21"/>
                <w:highlight w:val="none"/>
              </w:rPr>
              <w:t xml:space="preserve"> 由直导线模块、直角导线模块、T形导线模块、接线模块、带插座的直角连接器模块、电阻模块（R：50Ω）、电阻模块（R：100Ω）、电阻模块（R：10kΩ）、电阻模块（R：47kΩ）、白炽灯E10的插座模块、带插座的直式连接器模块、中断连接器模块、染色缸、铜电极（76mm×40mm×0.15mm）、锌电极（76mm×40mm×0.15mm）、铅电极（76mm×40mm×0.15 mm）、铁电极（76mm×40mm×0.15 mm）、2号电池电池盒模块、电铃、单刀单掷开关模块、PTC电阻模块（R：250Ω）、NT</w:t>
            </w:r>
            <w:r>
              <w:rPr>
                <w:rFonts w:hint="eastAsia" w:cs="宋体" w:asciiTheme="minorEastAsia" w:hAnsiTheme="minorEastAsia" w:eastAsiaTheme="minorEastAsia"/>
                <w:color w:val="auto"/>
                <w:szCs w:val="21"/>
                <w:highlight w:val="none"/>
              </w:rPr>
              <w:t xml:space="preserve">C电阻模块（R：1kΩ）、电位器模块（R：250Ω）、单刀双掷开关模块、电气安全模型、双金属带（L：150mm，W：25mm）、导体和非导体（L：150mm）、红色导线（L：250mm，32A）、蓝色导线（L：250mm，32A）、红色导线（L：500mm，32A）、蓝色导线（L：500mm，32A）、铜镀镍香蕉插头（M4）、鳄鱼夹（φ：4mm，L：51mm）、小灯泡（1.5V，0.15A，E10）、小灯泡（4V，0.04A，E10）、小灯泡（6V，0.5A，E10）、小灯泡（12V，0.1A，E10）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三、功能和应用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可模拟演示电路专题实验（简单电路、电压的测量、电流的测量、导</w:t>
            </w:r>
            <w:r>
              <w:rPr>
                <w:rFonts w:hint="eastAsia" w:cs="宋体" w:asciiTheme="minorEastAsia" w:hAnsiTheme="minorEastAsia" w:eastAsiaTheme="minorEastAsia"/>
                <w:color w:val="auto"/>
                <w:szCs w:val="21"/>
                <w:highlight w:val="none"/>
              </w:rPr>
              <w:t xml:space="preserve">体和非导体、转换开关和交替开关、电源的串联和并联连接、保险丝、双金属开关）、电阻专题实验（欧姆定律、同材质导线电阻的决定因素、导线的电阻率、并联连接中的电流和电阻、串联连接中的电流和电阻、串联电路中的电压、电位器、电源的内阻）、电气工作和电力专题实验（电功和电功率）、能量转换专题实验（将电能转化为热能）、电化学专题实验（电解质水溶液的电导率、液体导电过程中电压和电流之间的关系、电解、电镀、原电池、铅蓄电池）、安全使用电能专题实验（供电线路接地、导体的电安全系统）、传感器专题实验（NTC电阻器、PTC电阻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新能源1实验箱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1、外形尺寸：437mm*327mm*170mm（两箱叠加高度H=330mm）；材质：ABS；手提翻盖式 ；最大承重：30-35公斤；内部含有内衬，保证每个器材都有对应的存放位置，便于快速、高效的整理和收纳；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w:t>
            </w:r>
            <w:r>
              <w:rPr>
                <w:rFonts w:cs="宋体" w:asciiTheme="minorEastAsia" w:hAnsiTheme="minorEastAsia" w:eastAsiaTheme="minorEastAsia"/>
                <w:color w:val="auto"/>
                <w:szCs w:val="21"/>
                <w:highlight w:val="none"/>
              </w:rPr>
              <w:t xml:space="preserve">纽扣式锁合：转动实验箱前侧的锁止机构既可以锁定箱子，也可以实现箱子与箱子之前的锁合，便于携带和搬运                  二、主要配置                        由发电机、小灯泡（1.5V，0.15A，E10）、小灯泡（4V，0.04A，E10）、小灯泡（6V，0.5A，E10）、电机模块、直角导线模块、接线模块、中断连接器模块、小灯泡灯座模块（E10）、太阳能电池支架、红色双插座、黑色双插座、棉线（L：5m）、银白小桶（45mm×65mm）、黑色小桶（45mm×65mm）、</w:t>
            </w:r>
            <w:r>
              <w:rPr>
                <w:rFonts w:cs="宋体" w:asciiTheme="minorEastAsia" w:hAnsiTheme="minorEastAsia" w:eastAsiaTheme="minorEastAsia"/>
                <w:color w:val="auto"/>
                <w:szCs w:val="21"/>
                <w:highlight w:val="none"/>
              </w:rPr>
              <w:t xml:space="preserve">太阳能电池（25mm×50mm）、水轮型液体流量指示器、卤素灯（12V，20W）、卤素灯罩、支撑杆（L：600mm）、温度计（L：250mm）、光具座滑块、太阳能收集器套件、毡片（100mm×100mm）、透明硅胶管（L：100mm，φ：7mm）、卷尺（L：2m）、秒表、红色导线（250mm，32A）、蓝色导线（250mm，32A）、蓝色导线（500mm，32A）、红色导线（500mm，32A）、低型塑料烧杯（100mL）、低型玻璃烧杯（400mL）、斜口塑料漏斗（φ：75mm）、铁架台底座、珀耳帖元件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三、功能和应用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可模拟演示能量转换专题实验（使用太阳能电池将光转换为动能、机械能转换为电能、热能转换为电能、热能转换为动能、驱动水轮）、太阳能热能专题实验（颜色对太阳能吸收的影响、材料对太阳能吸收的影响、模拟温室效应、加热太阳能集热器中的水、房屋保温和热成像、热辐射和温室效应、利用温差发电机产生电能）、环境热专题实验（热传导、热电压和温度、珀耳帖效应-冷却发动机、珀耳帖效应-热泵、环境温度对珀耳帖热泵影响）</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新能源2实验箱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1、外形尺寸：437mm*327mm*170mm（两箱叠加高度H=330mm）；材质：ABS；手提翻盖式；最大承重：30-35公斤；内部含有内衬，保证每个器材都有对应的存放位置，便于快速、高效的整理和收纳；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3、纽扣式锁合：转动实验箱前侧的锁止机构既可以锁定箱子，也可以实现箱子与箱子之前的锁合，便于携带和搬运。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二、主要配置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由单刀单掷开关模块、直导线模块、中断连接器模块、电位器模块（0～250Ω）、电容器模块1</w:t>
            </w:r>
            <w:r>
              <w:rPr>
                <w:rFonts w:hint="eastAsia" w:cs="宋体" w:asciiTheme="minorEastAsia" w:hAnsiTheme="minorEastAsia" w:eastAsiaTheme="minorEastAsia"/>
                <w:color w:val="auto"/>
                <w:szCs w:val="21"/>
                <w:highlight w:val="none"/>
              </w:rPr>
              <w:t xml:space="preserve">F（C：1F，）、红色发光二极管模块（0.06W）、水泵（U工作为3～4.5V）、注射器（20mL）、镍氢蓄电池（5号，1.2V）、电池盒模块（AA型）、太阳能电池支架（25mm×50mm）、转叶（3叶）、太阳能聚集器套件、红色双插座、黑色双插座、塑料水槽、太阳能电池板（130mm×93mm）、红色导线（500mm，32A）、蓝色导线（500mm，32A）、太阳能电池板（25mm×50mm）、鼓风机（12V）、夹具（d：16mm）、转接头、支撑杆（L：250mm）、黑色硬纸板（200mm×300mm）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三、功能和应用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实验箱与新能源1一起总共可以进行43次学生实验：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模拟演示太阳能电能专题实验（光照强度对太阳能电池的电压和电流的影响、太阳能电池受光面积对电压和电流的影响、串联太阳能电池的电压和电流、并联太阳能电池的电压和电流、太阳能电池做LED的电源、太阳能电池作为二极管、太阳能电池的电压和电流随光强的变化（绘图象）、使用</w:t>
            </w:r>
            <w:r>
              <w:rPr>
                <w:rFonts w:hint="eastAsia" w:cs="宋体" w:asciiTheme="minorEastAsia" w:hAnsiTheme="minorEastAsia" w:eastAsiaTheme="minorEastAsia"/>
                <w:color w:val="auto"/>
                <w:szCs w:val="21"/>
                <w:highlight w:val="none"/>
              </w:rPr>
              <w:t xml:space="preserve">充电电池存储太阳能电池的电能、太阳能电池在黑暗环境下的特征、太阳能电池的伏安特性曲线、用电容器储存太阳能电池的电能）、风能专题实验（风力发电、风速对风力发电的影响、风向对风力发电的影响、负载下风力发电现象的观测、风轮叶片数量的影响、使用可充电电池储存来自风能的电能、使用电容器储存来自风能的电能、风力发电机伏安特性）、水能专题实验（用太阳能抽水、用风能抽水、自来水驱动发电机、泵将电能转化为势能的效率）、抛物槽式发电厂专题实验（使用抛物槽太阳能集热器加热水、抛物槽中吸收器位置对加热的影响、太阳能蒸汽发电站模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探究凸透镜成像的规律AR增强实境实验套件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一、系统清单</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实境增强（AR)系统软件、探究凸透镜成像的规律实验配套器材、光学轨道。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二、主要器材配置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1.实境增强（AR)系统软件：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“探究凸透镜成像的规律”AR软件，可以在软件步骤引导下顺利完成此实验。另还配有此实验的AR定位卡纸（A4尺寸），可以辅助完成器材的定位。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矮蜡烛、f=+50mm凸透镜、光屏、托盘、光具座滑块、火柴等。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3.光学轨道：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L=60cm，铝合金材质。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三、系统功能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以通过扫码或实验选择，在联网状态下快速进入具体的实验场景；AR中的各实验元素的位置、动画都与配套器材完全匹配；AR中有小机器人逐步讲解实验的每步操作和要点，以及在实验末尾进行规律总结；可以结合对现实实物的观察，对应每个局部，动画展现其内部结构，帮助学生对物品进行学习和认知；可以结合现实现象，展示肉眼看不见的重要信息和规律，帮助学生对抽象事物的理解，构建完整知识框架；AR模式可以连接真实的传感器无线连接，实时采集真实的实验数据，绘制表格或者图象；并且实验数据可以和动画联动，方便学生对规律的理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人工智能传感器应用通识基础套装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1个控制器(SMARTCode)，5个磁吸无线控制器模块(MagicLink)，20个不同的传感器执行器模块(MagicBlock)。控制器(SMARTCode)采用无线连接方式，磁吸无线控制器模块(MagicLink)运用蓝牙无线技术，传感器执行器模块(MagicBlock)则通过磁吸连接。控制器配备了高清液晶触摸屏幕和8GB内存，能够支持设备信息查看，最多可连接19个设备，内嵌30余门课程，设有无代码测试模块，还拥有独立图形化软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1、控制器(SMARTCode)</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显示屏：≥2.8英寸TFT 480*480 电容屏；内存：≥8GB；传感器无线最大连接数量：≥19个；有线连接：Type-C；无线连接：蓝牙5.1；内置电池：≥3000mAh 锂电池；待机时间：6个月以上；电源适配器：100V~240V AC / 5V DC 2A；固件升级：固件可通过USB接口进行升级；按键：电源按钮、扫描按钮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2、磁吸无线控制器模块(MagicLink)</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无线连接：蓝牙5.3；具备与模块连接成功提醒功能；能自动识别传感器执行器，支持热插拔；拥有7P磁吸接口；配备500mAh锂电池；有线连接：Type-C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3、传感器执行器模块(MagicBlock)</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模块种类超过20种；采用7P磁吸接口；有设备图标和名称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温度模块：-55℃~+125℃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温湿度模块：-40℃~+125℃、5~95%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声强模块：65~100dB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倾斜模块：前、后、左、右、中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光强模块：0~10000lux</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距离模块：35cm~300cm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按钮模块：0松开、1按下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颜色识别模块：识别标定的颜色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障碍检测模块：2cm~18cm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旋钮模块：0~100%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摇杆模块：上、下、左、右、按下、中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蜂鸣器模块：0~4.0KHz</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MP3播放器模块：支持TF卡，最大支持16GB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RGB灯模块：支持RGB全彩（1600万色）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点阵屏模块：8*8像素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四位数字数码管模块：-999~9999(有效位数3~4位)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时钟数码管模块：00:00~99:99显示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舵机模块：0~180°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电机模块：0~2700rpm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交通灯模块：红、黄、绿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学生端器材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1.用于测量电路、电器两端的电压。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6.可以对微小的电压变化快速采样。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1.量程：-30V~30V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4.输入阻抗：2MΩ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1.用于测量电路中的电流。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6.可以对微小的电流变化快速采样。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1.量程：-1A~1A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4.内阻：0.22Ω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传感器正面为电源指示灯，前端为探头插孔，前端管壁内为霍尔效应元件，后端为Lightning接口，附件为磁感应强度探头。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1.用于测量磁场的磁场强度。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5.磁场传感器探头为为3.5mm耳机插头，耳机插孔式连接，无干扰。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1.量程：-64mT~64mT</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3.分辨率：0.04mT</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传感器造型方正，上端有三个开孔，背面有与实验器材搭建的M6国标接口，可适用于多种固定方式；下端为力传感器接口，可拧上钩子（测量拉力）或托盘（测量推力），侧面为Lightning接口线。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1.用于测量拉力或压力。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1.量程：-50N~50N</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3.分辨率：0.03N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传感器正面为电源指示灯，前端内置有超声波收发装置，后端为Lightning接口.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1.用于测量物体运动的位移。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1.量程：20cm~600cm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1.用于测量电路中的微电流。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6.可以对微小的电流变化快速采样。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1.量程：-10μA~10μA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3.分辨率：0.01μA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4.内阻：0.22Ω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整体为门式结构，正面有指示灯，两侧有固定用的螺丝孔，上部有光路遮挡指示灯，背面为固定螺孔、侧面为Lightning接口线。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1.用于测量物体通过光电门的挡光时间以及速度、加速度、动量、动能等物理量。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3.与采集器连接具有通电指示灯，可以快速判断是否正确连接。</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5.无需校准，即连即用。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1.量程：0~∞s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2.精度：±1</w:t>
            </w:r>
            <w:r>
              <w:rPr>
                <w:rFonts w:eastAsia="Arial Unicode MS" w:cs="Arial Unicode MS" w:asciiTheme="minorEastAsia" w:hAnsiTheme="minorEastAsia"/>
                <w:color w:val="auto"/>
                <w:szCs w:val="21"/>
                <w:highlight w:val="none"/>
              </w:rPr>
              <w:t xml:space="preserve">㎲</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3.分辨率：1us</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估测大气压强实验器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针筒、针筒后盖、堵头、金属推拉杆、硅胶垫圈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1.用于估测大气压强实验，利用大气压力和针筒横截面积计算大气压强。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2.实验器拉杆上有螺纹，与传感器适配性好，可直接旋入力传感器，测量大气压力的变化，并在Windows、安卓、iOS系统终端上实时呈现数据。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3.针筒外壳坚固，不易变形，筒身标有刻度及直径大小，方便进行受力面积计算。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4.一体化设计，实验环境搭建简单，易操作。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5.配套专用实验软件，预设模板，单次测量自动记录，多次测量自动计算出平均值，以表格形式自动记录数据变化情况，实验结果更直观明显。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估测大气压强等实验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微型L型支架1个、多功能导轨1个（1.2m）、动力学小车1个、L型支架2个、宽L型支</w:t>
            </w:r>
            <w:r>
              <w:rPr>
                <w:rFonts w:hint="eastAsia" w:cs="宋体" w:asciiTheme="minorEastAsia" w:hAnsiTheme="minorEastAsia" w:eastAsiaTheme="minorEastAsia"/>
                <w:color w:val="auto"/>
                <w:szCs w:val="21"/>
                <w:highlight w:val="none"/>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1.用于动力学为核心的包含位移、时间、速度、加速度等物理量等实验。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小车导轨是一套能轻松完成初高中动力学实验的实验平台，实验器功能多样，配件齐全，轨道预留多种传感器固定孔及光电门固定支架，可搭配位移传感器、分体式位移传感器、光电门传感器等不同组合进行实验，测得小车各类运动数据，并在Windows、安卓、iOS系统终端上实时呈现数据，支持各类动力学DIY设计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3.专用动力学小车，车轮刀片式设计，与轨道摩擦小，具有弹簧减震结构，有效保证小车在同一平面直线运动。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4.动力学小车预留力钩柱、紧固件螺口、挡光片的专用手拧螺丝接口，可快速安装对应的拉力组件、砝码、挡光片等配件。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5.滑轮及车轮轮轴摩擦力极小，能有效减小轮轴摩擦对实验的影响。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6.导轨采用铝型材，坚固耐用，导轨两侧标有清晰的刻度，可直接读取小车运动距离，导轨面具有小车运动槽，保证小车不脱轨。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匀变速直线运动的位移与时间的关系、借助传感器用计算机测速度、匀速直线运动的位移、匀变速直线运动的速度与时间的关系、探究加速度与拉力的关系、 探究加速度与质量的关系、用两个光电门测加速度等实验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摩擦做功实验器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铜管、桌边夹、温度传感器专用孔塞、摩擦棉绳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1.用于摩擦做功使温度升高实验。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2.拉动棉绳摩擦铜管，配合温度传感器可测得铜管内空气的温度，可在Windows、安卓、iOS系统终端上实时呈现数据。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探究摩擦生热、机械能转化为内能等实验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初中电学实验板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6种实验电路板（含欧姆定律、导体的伏安特性、限流法测灯泡的伏安特性、电阻的串并联、伏安法测电阻、电磁感应现象）、香蕉头导线、鳄鱼夹、9V电池、小灯泡。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每块板的尺寸为：120*75mm。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1.用于初中电学类实验，如欧姆定律、导体的伏安特性、电阻的串并联等。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2.集成电路，实验方便快捷。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3.插拔式接线口，接线简便牢靠，实验稳定。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4.适配电学类传感器测量数值并在Windows、安卓、iOS系统终端上实时呈现，也可接入指针式电表，满足数字化和传统不同形式实验教学要求，实验设计灵活。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5.实验丰富，基本涵盖电学类初中分组及演示实验。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欧姆定律实验、导体的伏安特性实验、限流法测灯泡的伏安特性实验、电阻的串并联实验、伏安法测电阻实验、电磁感应实验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（2F）物理电学仪器室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3、上柜门：采用增强型PP材质一体注塑成型，外嵌4mm(±0.5mm)钢化烤漆玻璃,中间玻璃做镂空处理，透明可视。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4、下柜门：采用增强型PP材质一体注塑成型，外嵌4mm(±0.5mm)钢化烤漆玻璃。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5、门把手：采用增强型PP材质一次注塑成型，安装于两门的门缝处，凹凸配套，增加柜子内部的气密性。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7、门铰链：用改性pp材料模具一次成型，伸缩式pp旋转门轴，内嵌隐藏方便安装，耐腐蚀。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8、柜门固定所需螺丝均采用304不锈钢，柜子内部空间无裸露金属材料，确保柜子的耐腐蚀性。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9、柜子顶部留通风系统接口，与通风管路连接；接口处配有手动调节装置，可以打开或关闭通风口。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1、规格：2400×1200×850mm(±5mm)。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2、台面：采用12.7mm厚双面膜实芯理化板。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5、铰链：采用知名品牌115度铰链，开合十万次以上。                                                                6、防撞胶垫：采用橡胶材质，装于门板内侧，减缓碰撞，保护柜体。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7、脚垫：采用ABS注塑专用可调脚垫，既保证演示台平稳又能有效防止柜身受潮，延长设备使用寿命。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准备室安装调试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包含仪器室全套安装调试等，方便安装、检修。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（2F）物理实验室通用仪器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计算器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函数型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四件。1.有四支不同孔径带手柄的空芯钻头、顶屑杆（通条）组成；2.每支空芯管长度为100mm，管外径分别为6±0.1，8.5±0.1,10.5±0.1,13.0±0.1mm；3.钻头用45＃无缝钢管制成，钻头圆度≤0.05mm，钻头直线度≤0.05mm；4.刀口经淬火处理，表面镀铬，刀刃无缺口或锯齿状,刃口角度为12～15°，刀刃平面与手柄平行，并与钻头轴线垂直,刀刃平面与轴线的垂直度≤0.3mm；5.顶屑杆直径φ3.5×105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产品结构：整体采用钢管做车架，表面经酸洗磷化后喷塑防护；双层结构，托盘的表面经酸洗磷化喷塑，有两层托盘，层间距不小于380mm，每层托盘四周有护栏围杆，四底脚有万向轮，小车两端有推拉扶手。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车体加载30Kg重物后，应推拉灵活，车体无变形。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每层托盘有防振、防腐蚀用的橡胶衬板。护栏围杆与托盘间的垂直高度为100mm。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 车体底脚万向轮转动灵活，结实耐用。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 表面不应有明显的凹痕、裂缝、变形等缺陷。表面涂镀层应均匀，不应起泡、龟裂、脱落和磨损。金属零部件不应有锈蚀及其他机械损伤。</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辆</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、初中物理通用仪器，铝合金框架，表面喷塑处理；工作面洗加工处理。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2、不少于2个有机玻璃水准泡指示水平和垂直和45°,测量精度0.057°=1mm/1m；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3、防震，长度不小于300mm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1．具充磁退磁功能，充、退磁时间≤30S，充、退磁电流＜5A，磁场区域170×120mm，退磁残磁≤0.1mT (厚度&lt;20 mm)；2.输入电源：～220V 50Hz，功率：≤500W。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初中物理分组仪器，手持式,有效通光孔径不小于30mm，5倍。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、初中物理通用仪器，双筒望远镜由目镜、棱镜及物镜组成，有一个中央调焦装置可同时移动两个目镜。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、双筒望远镜的倍率为7,镜头直径为35mm,射出瞳孔为6mm.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1、初中物理通用仪器，望远镜由镜筒、支架、脚架组成。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2、镜筒由主镜和寻星镜两部分组成，两镜筒均为防尘密封式。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主镜系统物镜：反射物镜，孔径D=114mm，焦距f=900mm；分辨率：4″；寻星镜：6×30；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3、支架部分采用EQ3手动跟踪赤道仪；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4、脚架部分采用铝合金脚；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5、目镜配置标准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目镜：H8mm   （放大113×、视场25′）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H20mm  （放大45×、视场57′）</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目镜转接口：31.75mm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正像镜：1.5×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增倍镜：3×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月亮镜：滤光镜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目镜接口：24.5mm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透明盛液筒体用聚苯乙烯压制而成，透明度良好、不易损坏。2. 筒的外经φ≥100mm，高度≥300mm。3. 筒体表面用丝网漏印法印制表示深度的标尺和刻度标志，呈红色或蓝色。4. 筒体壁厚度≥2.5mm，筒体底部安放平稳、牢固，造型美观。外形平整、无划痕、修正的边沿不得有变形破边等缺陷。5. 刻度和字迹要清晰、量值要准确。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透明水槽（圆形或方形）</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1、初中物理通用仪器，圆形或方形塑料水槽。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2、规格：直径φ（270mm±×高140mm， 或300mm×300mm×高150mm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3、水槽透明度好，强度高。</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4、带水槽附件。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1、初中物理分组仪器，密闭式。由玻璃密封管体和手柄组成，管的高度≥45mm，直径≥30mm，两端内凹面深度为4mm±1mm。管内密封碘的质量≥0.1克。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2、手柄长≥100mm，直径为ф6mm±1mm。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3、管体外形端正，玻璃熔接平滑均匀，无气泡、无条纹。管体在90℃热水中检测无泄漏（无气泡溢出）。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4、管体应耐80℃温差的急冷骤热。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5、升华与凝华的全过程耗时应≤10分钟。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1.由A型座大小各1，立杆700mm、500mm各1, 复夹4, 烧瓶夹,万向夹1,台边夹1,铁环1,圆托盘1, 吊钩4,吊钩杆1, 绝缘杆1等组成；</w:t>
            </w:r>
            <w:r/>
          </w:p>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2.A型座、复夹、万向夹、台边夹的紧固螺钉为M6、立杆、绝缘杆上的螺栓为M8。所有紧固件应同心对称，螺钉转动松紧适度；</w:t>
            </w:r>
            <w:r/>
          </w:p>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3.所有组件组装成实验支架后，应放置平稳，夹持可靠，紧密牢固；</w:t>
            </w:r>
            <w:r/>
          </w:p>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4.立杆与A型座组装后，A型座未经调平，直杆与底面的垂直度≤5毫米，吊钩杆组装后与立杆的垂直度≤3毫米。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1.由方形底座、立杆、烧瓶夹、大小铁环、垂直夹（2只）、平行夹等组成。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2.方座支架的底座尺寸为210×135mm，立杆直径为φ12mm，一端有M10×18mm螺纹，底座和立杆表面应作防锈处理。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3.底座放置平稳，无明显晃动现象，支承夹持可靠。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4.立杆与方座组装后应垂直。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铸铁座件，圆钢镀铬立杆，带物理实验常用环件和夹。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初中物理通用仪器，本产品由上基板、下基板和升降杆等组成。 2  上基板外形尺寸为150×150×2mm。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下基板外形尺寸为180×180×2mm。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  升降高度：110～270mm。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  升降梯度：升降杆每转一周,升降高度变化为4mm。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  上基板升降平稳，无摇晃现象。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  升降杆转动灵活，滑动部件滑动平稳，无跳动。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  各金属部件表面镀铬，镀层光洁，无脱皮，砂眼等缺陷。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1、初中物理分组仪器，有铁环和三只脚两部分。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2、铁环由铸铁制成，内径75mm，外径100mm，铁环底面有互为120°、直径15mm的三个圆台，用于加固三只脚。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3、三只脚用直径φ5mm的圆钢制成。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4、三只脚脚距应相等，脚与环结合应紧固。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5、三只脚脚部应在同一平面内,放在平台上,三角架应平稳,环面在一平面内,平直度应小于0.5mm。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1、初中物理分组仪器，加热辅助设备。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2、泥三角由黄泥棒、铁丝组成。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3、黄泥棒外径Φ10mm±0.5mm，长53mm±1mm，其中心孔能穿过1mm的铁丝。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4、三支棒组成等边三角形，黄泥棒：坚硬。</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1、初中物理通用仪器，本产品在磁铁的性质教学中，用作两种电荷的相互作用实验时支撑，搁置条形磁铁，玻棒、胶棒等用。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2、结构形式，可折式，成对配置。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3、本产品由旋转体、支座组成。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4、旋转体上有嵌放条形磁铁、玻棒、胶棒的凹槽。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5、支座应放置平衡、无晃动。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6、装配后应转动灵活。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初中物理分组仪器，输出直流电压1.5V-9V,1.5A。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初中物理演示仪器，交流2V～12V,5A,每2V一档。直流1.5V～12V,2A。大电流40A，8S自动关断。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初中物理演示仪器，容量6V,12AH。密封免维护。</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交流0～250V</w:t>
            </w:r>
            <w:r>
              <w:rPr>
                <w:rFonts w:hint="eastAsia" w:cs="宋体" w:asciiTheme="minorEastAsia" w:hAnsiTheme="minorEastAsia" w:eastAsiaTheme="minorEastAsia"/>
                <w:color w:val="auto"/>
                <w:szCs w:val="21"/>
                <w:highlight w:val="none"/>
              </w:rPr>
              <w:t xml:space="preserve"> 2KVA自偶式或隔离式。1、输入电压：交流220V 50Hz。2、输出电压：交流0—250V、连续可调。3、最大输出电流：8A。4、额定功率：2KVA。5、绝缘电阻：电源进线端和电压输出端与机壳绝缘电阻≥20MΩ。6、空载电源：应小于0.2A。7、电压试验：仪器电源进线端和电压输出与机壳间馈给试验电压，带保护接地端子为1.5KV，不带保护接地端子为3KV，漏电电流输出不小于5mA,试验电压保持1分钟，不应出现飞狐击穿现象。8. 产品应能适应环境温度为－40～60C,环境湿度为50C90%RH的运输和贮存。</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1、初中物理演示仪器，本产品适用于中学物理实验使用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2、工作电压：160V~250V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3、可供4V、6V、12V多个不同电压电瓶同时使用，充电电流可调最大5A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4、过流、短路自动保护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5、电瓶充满自动停充。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1、初中物理分组仪器，电池盒由塑料盒底、正负极弹簧片、插接件组成。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2、电池盒分1号电池一节1个，为组装式，即可并联 多个也可串联多个，组合方便，接触性好，四个为一组。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3、盒底由工程塑料制成，表面光洁，色泽均匀，弹簧采用薄锡青铜片制成，表面光洁，无毛刺，并经钝化处理。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1、绝缘：次级高压绕组真空浸漆绝缘，无爬电击穿；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2、火花要求：额定电压下放电连续、分叉清晰，无间断；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3、耐用性：连续工作15min无异味、无明显发烫；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4、适用实验：空气火花放电、稀薄气体放电管、电磁波干扰演示、电火花点火。</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1000mm×45mm×5mm，木质或塑料制。最小分度值：1cm。全尺刻度累计误差≤2mm，尺面平面度公差≤3mm，尺边直线度公差≤2mm，两面均涂白色漆，历印，黑色刻度线和红色数字。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长1000mm，分度值1mm。标注m，dm，cm，mm四种单位。外型尺寸不小于1000×38×5mm；用不易变形的木材或塑料制造。木材应脱脂、干燥处理，其含水率应符合JY0001第5.22条要求，应无节疤、裂纹存在，无明显变形；尺面漆色鲜明、平整清洁，应符合JY0001第6.5条要求；全长允差应小于3mm；尺面刻线清晰，垂直于测量面，无断线、数字清晰、端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200mm×20mm×0.8mm，分度值0.5mm。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初中物理分组仪器，2m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初中物理演示仪器，30m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初中物理演示仪器，规格为125mm，0.02mm。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外径千分尺（螺旋测微器）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初中物理演示仪器，规格为25mm，0.01mm。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最大称量500克，最小分度值20毫克；2、游码标尺称量范围：0－1000毫克，分度值20毫克；3、带有片码的四等砝码，专用塑料砝码盒，各种砝码和镊子定位放置；4、铸铁底座，表面喷塑，立柱和横梁均使用铝合金制成，表面钝化，称盘为胶木材料制成，钢刀玛瑙刀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初中物理分组仪器，规格：200g， 0.02g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双托盘、单杠杆式；2.托盘为胶木材料制成，盘底有成对编号；3.最大称量200g，最小分度值0.2g。4.游标刻度清晰，游码滑动自如；5.附件：四等砝码1套，镊子1把，专用塑料砝码盒1个，各种砝码和镊子定位放置；6.底座金属铸造，表面喷塑，横梁、横梁支架、盘托架金属制，表面镀铬，双向调旋螺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双托盘、单杠杆式；2.托盘为胶木材料制成，盘底有成对编号；3.最大称量500g，最小分度值0.5g。4.游标刻度清晰，游码滑动自如；5.附件：砝码1套，镊子1把，专用塑料砝码盒1个，各种砝码和镊子定位放置；6.底座金属铸造，表面喷塑，横梁、横梁支架、盘托架金属制，表面镀铬，双向调旋螺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1、初中物理演示仪器，计量仪器。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2、最大称量：100g，0.001g。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单杠杆天平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初中物理演示仪器，100g，0.01g，链式。</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案秤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初中物理演示仪器，最大称量10kg，分度值10g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弹簧度盘秤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初中物理演示仪器，最大称量：8kg，分度值8g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g×1，20g×2，50g×2，200g×2，误差≤1%。钩码表面应钝化处理，定位装于塑料盒内，底呈半球形，下钩位于底槽内，上下钩方向垂直，材料用钢材制成，外表镀铬，镀层不得有脱落，不均现象；挂钩必须牢固，应能承受1000g以上的重物悬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1、初中物理分组仪器，金属槽码供中学物理实验用。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2、组成：10g1个, 20g 2个, 50g 2个 , 200g 1 个，10g金属槽码盘一个。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初中物理分组仪器，0.01s</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1、初中物理分组仪器，产品外观尺寸不小于Φ50mm。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2、产品最小计时为0.1秒，上紧一次发条走时应大于12小时。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3、有启动和回零按钮。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4、走时误差：每100秒钟误差≤0.1秒。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初中物理分组仪器，0.01s</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1、初中物理分组仪器，计量仪器，供教学计时用。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2、最小单位为1／10sec，（可显示的最小位数）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1、初中物理演示仪器，计时仪器，电子式。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2、节拍范围1／4、1／3、1／2、1、2、3、4sec。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3、基本误差：≤各档节拍时间的5％。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4、闪光时间：130ms±10ms。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5、发声响度大于400mw（瞬态输出功率）。</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1、初中物理演示仪器，适用中学物理实验教学用。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2、由内置细沙的玻璃漏体和木质外框（盒）镶嵌制成。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3、漏体为上下两个漏斗漏嘴相对连接，内装有流沙。每个漏斗容积不小于150ml。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4、漏沙时间为5分钟。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5、玻璃漏体应外形端正，厚薄均匀，内外表面清洁，无划伤。</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1、初中物理演示仪器，赤道面日晷，由晷面、晷针和底座组成。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2、晷针与晷面配合松紧适合，晷面和底座组装方便，角度可调，便于按使用者所在地的纬度调整固定。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3、晷面及底座用塑料制成，晷针用用金属材料制作，表面防锈处理。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4、晷面直径不小于230mm。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1、初中物理演示仪器，由木质材料镶嵌玻璃棒芯组成。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2、采用摄氏（℃）和华氏（℉）木板双刻度，面板标有：摄氏 -30℃～50℃；华氏 -20℃～120℃的标志。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3、玻璃棒芯感温液，正面放大玻璃液读数。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4、温度准确度：±1℃（0℃～30℃）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5、最小分度值：1℃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6、储藏条件：-30℃～60℃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7、尺寸：不小于250mm×49mm×9mm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初中物理分组仪器，10N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初中物理分组仪器，2.5N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初中物理分组仪器，1N，分度值0.02N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初中物理演示仪器，1N，分度值0.02N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初中物理演示仪器，2N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量程：0～10N；分度值 0.5N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量程：0～10N 双向（拉力、压力通用）；分度值 0.5N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1、初中物理演示仪器，测量范围:0-99.9Kg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2、分度值:0.1Kg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3、示值误差:±1%F.S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4、电源:一节9V叠式电池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5、功能:握力峰值保持,开关/清零,定时关机,过载指示。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1、初中物理演示仪器，测量范围：10N～500N。</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2、采用表盘推拉力计。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3、表盘推拉力计材料选用工程塑料或金属材料。表面平整清洁，不应有划痕、溶迹、缩迹和凹凸不平现象。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4、刻度盘标有10N—500N，最小单位5N。刻度清晰，字迹清楚。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5、拉力计应能承受1分钟550N的拉力而不损坏。松开拉力后，应能恢复原有性能不变。</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初中物理演示仪器，具有直流电压表、直流电流表和检流计功能，2.5级。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1、初中物理演示仪器，具有直流电压表、直流电流表和检流计功能，四位半显示。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2、误差≤1.5％读数。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电能表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初中物理演示仪器，单相。</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初中物理演示仪器，500V。</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机械指针式，准确度为2.5级，0.6A，3A，三旋钮式接线柱，座式，具零点调节器。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机械指针式，准确度为2.5级，3V，15V，三旋钮式接线柱，座式，具零点调节器。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初中物理分组仪器，±300μA。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初中物理演示仪器，不低于交流5级，直流2.5级。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初中物理演示仪器，0.6A、3A，2.5级。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初中物理演示仪器，3V,15V,2.5级。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初中物理演示仪器，±300μA。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1、初中物理演示仪器，主要由磁针、刻度盘、瞄准设备构成。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2、刻度盘应有2°或1°的划分，每隔10°有一注记；罗盘仪的刻度盘按1°～360°反时针注记。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3、指针系长菱形或长条形的人造磁铁，中央作小帽状并镶有坚硬的玛瑙，支承在度盘中心钢质的顶针上，可以灵活转动。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4、罗盘仪上还有一小杠杆，罗盘仪不使用时，可旋紧杠杆一端的小螺旋使磁针离开顶针，以减少磨损。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初中物理演示仪器，多膜盒。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初中物理分组仪器，由铜、铁、铝三种材料各一个组成。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1、初中物理分组仪器，由铜、铁、铝、木材四种材料组成。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2、体积不小于60立方厘米。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3、木质致密，表面平整光滑，作防潮处理。金属作防锈处理。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1.由水平板、斜面板、小车、过渡塑料片、毛巾，布,瓦楞纸，小球2个，硬盒、小球滑槽运动块等组成；2水平板和斜面板用合页连接，宽度和厚度尺寸要一致；3.小车为塑料制品。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1、初中物理演示仪器，力学仪器, 供中学演示物体的惯性用。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2、有钢球、弹簧钢片、立柱、底座、木片或塑料片等部分。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3、钢球直径φ20mm，表面镀铬。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4、弹片由0.5mm－0.75mm弹簧钢制成，表面防锈处理。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5、立柱高100mm，柱端有盛球的碗，碗口直径φ22mm。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6、木片（塑料片）尺寸不小于50mm×30mm，中心有盲孔。</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1.由木制磨擦板和磨擦块组成；2.磨擦板外形规格不小于500mm×47mm×8mm；3.磨擦块外形规格不小于100mm×35mm×25mm；上面有两个砝码孔，端面中心有挂钩。</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1．由钢丝绕成的螺旋弹簧5种一组组成；2.种螺旋弹簧拉力限量分别为：5N，3N，2N，1N，0.5N；3.表面镀镍防护，弹簧上端为园环，下端有三角片，杆勾，指针组成。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阿基米德原理实验器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测力计、塑料吊桶、塑料圆柱体、溢液杯组成；2.必须配2N演示测力计，测力计面板应有0g、50g、100g、150g、200g和0N、0；5N、1；0N、1；5N、2；0N两种对应刻度、量程的示值误差≤1%，测力计上端要有零调装置；3.塑料圆柱的体积为100ml,有等分刻度线，质量≥120g，直径不小于φ35mm；4.塑料吊桶透明,外直径不小于φ40mm，容积为100ml有等分刻度线,溢液杯透明，上端有零调装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1、初中物理分组仪器，用于中学物理教学演示验证阿基米德原理及其应用实验。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2、本产品由专用测力计、游标指针、塑料桶、塑料圆柱体和溢液杯组成；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3、专用测力计的刻度线应一致，弹簧指针不应产生形变；</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4、塑料圆柱体与塑料桶应密合，桶柱上端应齐平；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1、初中物理分组仪器，力学仪器，供中学物理实验用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2、由微小压强计，液体内部压强演示器，量筒等组成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3、微小压强计应符合JY133的要求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4、量筒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4.1、规格：500ml，最小分度：5ml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4.2、量筒全高：360mm±2mm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由玻璃连通器和底座两部分组成。外形尺寸不小于：200×120×200mm。玻璃件选用钠钙玻璃或硼硅玻璃。玻璃件壁厚约1.0mm。玻璃件细管外径为12mm，粗管外径为30mm。玻璃件必须经过退火处理，消除应力。底座要平稳，表面光滑无痕。</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演示帕斯卡定律，验证液体内部压强能够等值向各个方向传递。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1、初中物理演示仪器，有大小水槽、立方物块、排气管、连通管、弹簧夹和底座等部件组成。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2、大小水槽、立方物块和底座均用有机玻璃制成。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3、大水槽腔内底部用铁片加重，表面有刻度，每一小格的边长为10mm。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4、小水槽粘在大水槽的底部。小水槽的高度≥60mm×60mm×25mm，底部有连通管孔和排气管孔。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5、物块腹内中空，外形尺寸≥60mm×60mm×50mm。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6、连接管为软胶管，弹簧夹松紧适当。</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初中物理浮力教学，演示物体浮沉条件，探究浮沉与物体密度、液体密度的关系。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1、初中物理演示仪器，产品由塑料水槽、潜水艇模型、注射器、软乳胶管组成。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2、胶管与注射器和潜水艇配合良好。胶管尽量选用软质，以不至于影响潜水艇模型的沉浮运动。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3、实验中潜水艇模型沉浮升降平稳，效果明显。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1.由承压盒、支杆、胶管和胶膜等组成；2.孔的轴线通过盒口中心并与盒口在同一平面内；3.允许偏差为0.5mm；4.胶管内径5mm，壁厚不小于1mm。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1.U形玻管内径均匀，φ≥8mm；2.刻度板铝合金制，刻度清晰，安装平稳，分度值≤1；3.U形管的的一端用乳胶管连接着一个三通玻璃管，乳胶管配螺丝夹。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1．主件：侧壁有三个小孔的透明有机玻璃圆筒一个，胶木底座一个、底座橡皮垫一个、小孔橡皮圈一只、小孔摆皮塞三个、塑料片一片； 2. 圆筒内径φ≥45mm,管长≥210mm。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初中物理演示仪器，大球内胆、大气球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马德堡半球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铸铁制空心半球，外径φ118mm，内径φ107mm，两半球外部正中各铸有一次成型拉环，其中一球体上安有一个通用铜制阀门，两球间及各部件间密闭性好，≥500mmHg；2.合口处和旋塞应进行成组研磨，并配套编号，外形匀称，打磨光洁无毛刺，无龟裂，合口光洁度均≥▽6。</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1、初中物理演示仪器，本产品适用于中学物理教学用。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2、本品由透明杯，橡胶套圈，胶塞，多孔盖，方格盖板，带嘴盖板，小气球，弹簧夹，乳胶管等组成。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1、初中物理演示仪器，本产品供初中物理教学演示压力和压强的比较用。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2、本产品由两个具有四条腿的塑料桌组成。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3、桌面尺寸约为120mm×120mm×6mm。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4、桌高约为100mm。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5、其中一个桌的四个腿截面积为10mm×10mm；另一个桌的腿的下端为形。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1、初中物理演示仪器，本产品由于中学物理实验。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2、产品主要由流速管，U形管，底座及附件等组成。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3、材料：流速管用透明材料制成，U形管为玻璃管。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4、面板上的刻度线清晰无断线。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1．由杠杆、轴、调平装置和四只挂钩组成；2.杠杆尺500×25×8mm，漆面光亮、平面度误差≤1.5mm；3.杠杆尺两端20cm处，各挂500克钩码，目测杠杆尺和挂钩无变形。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1.产品由三并滑轮2件、三串滑轮2件及单滑轮2件组成。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单滑轮：外径70mm,轮缘厚8mm,轮毂厚10mm,槽深5mm；三并滑轮：轮盘数量3个，外径70mm,轮缘厚8mm,轮毂厚10mm,槽深5mm；三串滑轮1个为外径70mm,轮缘厚8mm,轮毂厚10mm,槽深5mm；另1个为外径53mm,轮缘厚8mm,轮毂厚10mm,槽深5mm；最后1个为外径40mm,轮缘厚8mm,轮毂厚10mm,槽深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3.滑轮的下上挂钩方向互成90度或可转动。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1.产品包括2并滑轮2个，单滑轮2个。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2.单滑轮外径40mm,轮缘厚7mm，轮毂厚10mm，槽深4.5mm。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3.二并滑轮，外径40mm,轮缘厚7mm，轮毂厚10mm，槽深4.5mm。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4.上下挂钩互为90度可转动。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初中物理力学演示，直观演示重力势能、动能、弹性势能相互转化，理解机械能守恒规律。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初中物理力学教学，演示竖直平面圆周运动、向心力、重力势能与动能相互转化、过山车原理。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产品性能满足中学物理实验教学的要求。配置：1.小车 1；2 .弹簧测力计 2；3、 支杆 1；4、 小支杆 1；5、 刻度牌 1；6、 多用端头 1；7 、横梁（带平衡螺母和丝杆） 1 ；8 、游码 1；9</w:t>
            </w:r>
            <w:r>
              <w:rPr>
                <w:rFonts w:hint="eastAsia" w:cs="宋体" w:asciiTheme="minorEastAsia" w:hAnsiTheme="minorEastAsia" w:eastAsiaTheme="minorEastAsia"/>
                <w:color w:val="auto"/>
                <w:szCs w:val="21"/>
                <w:highlight w:val="none"/>
              </w:rPr>
              <w:t xml:space="preserve"> 、托盘 2；10 、大桶 1；11、 大胶塞 1；12 、小胶塞 1；13 薄膜 1；14 小桶 1；15 重物 1； 16 塑料管 2； 17 砝码块（2个20克，3个10克，2个5克，1个任意）； 18 砝码托 2； 19 滑轮 2； 20 滑轮架 2；21 滚摆配件 1 ； 22 粗糙布块 1 ； 23、 S型挂钩 1；24 小球及带长细线 1；25 皮筋 2；26 海绵块 1；27 重锤及线 1； 28 指针 1； 29 弹簧片 1；30 两端带挂钩细绳 1；31 带钩插杆 1； 32 小桌 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1、初中物理演示仪器，力学仪器，用于初中物理演示实验。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2、演示板为J2368型初中演示线路实验板的底板。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3、可在演示板上完成J2108斜面小车，J2121演示滑轮组，J2103圆筒测力计，J2105圆盘测力计，J2109摩擦计等仪器的全部实验功能。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1、初中物理演示仪器，本产品可供物理教学中演示飞机的机翼在风力作用下会上升实验。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2、由风机、机翼模型、底座等组成。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3、风机转速可调，且能使机翼模型稳定地停留在某一高度。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4、绝缘电阻大于20MW。耐压不小于1500Ｖ（有接地端）或3000Ｖ（无接地端）。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初中物理力学教学，提供手动高速动力，演示离心现象、向心力、圆周运动、七色光合成、发电机原理等实验。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初中物理分子热运动教学，直观演示固体分子间存在相互吸引力。</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教师用，或有机玻棒(附丝绸)。初中物理静电章节，演示摩擦起电、两种电荷、电荷间相互作用、静电吸附等实验。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学生用，或有机玻棒(附丝绸)。初中物理静电章节，演示摩擦起电、两种电荷、电荷间相互作用、静电吸附等实验。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教师用，或聚碳酸酯棒(附毛皮)。初中物理静电演示实验，产生负电荷，配合玻棒（附丝绸）区分正负电荷，演示摩擦起电、电荷间相互作用、静电吸附等实验。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学生用，或聚碳酸酯棒(附毛皮)。初中物理静电演示实验，产生负电荷，配合玻棒（附丝绸）区分正负电荷，演示摩擦起电、电荷间相互作用、静电吸附等实验。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教师用，初中物理静电演示，检验物体是否带电、区分正负电荷、演示感应起电、对比电荷量大小、探究导体与绝缘体导电特性。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学生用，初中物理静电演示，检验物体是否带电、区分正负电荷、演示感应起电、对比电荷量大小、探究导体与绝缘体导电特性。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初中物理静电定量演示，检验物体带电、区分电荷正负、比较电势高低、演示感应起电、空腔导体静电平衡、法拉第圆筒电荷分布实验。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1.在温度为20℃、相对湿度为65%的环境中，摇柄转速120转/分时，火花放电距离不小于55mm。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2.在温度为5～30℃范围，相对湿度不小于80%的条件下，仪器应正常工作，火花放电距离不小于30mm。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3.起电盘采用直径Φ235mm×3mm，有机玻璃制成。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4.底座采用绝缘性能良好的塑料或其他同等性能的材料制成。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5.莱顿瓶极板涂敷高度≥120mm，无划伤、脱落。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1、初中物理演示仪器，供中小学物理教学实验用。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2、枕形导体主要用于演示静电感应现象。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3、枕形导体由金属圆筒及半球、绝缘支杆底座组成。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4、将导体安装在绝缘支杆一端，另一端通过螺丝与底座紧固。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1.由底座、电珠螺丝口，正（红）、负(黑）接线柱帽等组成；2.底座用黑色塑料制成，螺丝口、连接片、螺母均为铜质；3.外形尺寸不小于75×35×10mm。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1．单刀开关由底座、接线柱、闸刀、手柄组成；2.单刀开关最高工作电压为36V,工作电流≤6A；3.底座用黑色塑料制成,表面平整光洁，闸刀和刀承、连接片均为铜质；4.外形尺寸不小于75×35×10mm。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1.电阻10Ω或20Ω，额定电流2A。2. 滑动式变阻器由线绕瓷管、滑动头、滑杆、支架、接线柱及触头等主要部件组成，用有氧化膜绝缘层的康铜丝密绕在瓷管上；3.电阻值误差应小于10％；4.支架为合金铝，触头及滑动头均为铜质。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1.电阻50Ω，额定电流1.5A。2. 滑动式变阻器由线绕瓷管、滑动头、滑杆、支架、接线柱及触头等主要部件组成，用有氧化膜绝缘层的康铜丝密绕在瓷管上；3.电阻值误差应小于10％；4.支架为合金铝，触头及滑动头均为铜质。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1.电阻5Ω，额定电流3A。2. 滑动式变阻器由线绕瓷管、滑动头、滑杆、支架、接线柱及触头等主要部件组成，用有氧化膜绝缘层的康铜丝密绕在瓷管上；3.电阻值误差应小于10％；4.支架为合金铝，触头及滑动头均为铜质。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5Ω、1.5A,10Ω、1A,15Ω、0.6A电阻圈各一只组成；2.使用环境条件：温度-1~+40℃，相对温度≤85%；3.电阴圈用康铜丝绕制而成，通赤接线柱固定于长方形胶木（或木）座中；4.电阻值误差≤±1%；5.电阻丝表面应经过绝缘处理，线圈排列整齐；6.在额定电流下长时间工作后，电阻丝应无明显变形，绝缘层不得剥落，胶木座无灼焦及开裂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初中物理电学演示，探究导体电阻大小与材料、长度、横截面积的定量关系，验证电阻定律 R=ρL/S。</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底板及康铜丝1根、碳钢丝1根、镍铬丝2根三种导线、8个接线柱、支撑架、2个连接片等组成；2.外形尺寸：560×180×20mm±2mm；3.金属导线名称，直径在底板上应有明显标记；4.底板由铁板制成，表面作防护处理；5.接线柱、垫片、螺母、连接片均为铜质，接线柱直径不小于5mm，与底板绝缘良好；6.电阻丝必须拉紧绷直，弹动时，声音清脆响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演示电阻箱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初中物理电学演示，探究欧姆定律、串联并联电阻规律、伏安法测电阻、电路限流分压、电源内阻测量等定量电学实验。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1．电阻箱阻值变换方式为开关式，每十进开关上电阻值的比值是 1：2：2：2：2或1：1：1：1：1：1：1：1：1；2.所有电阻均用高稳定的漆包锰铜丝以无感方式绕于高频瓷管上；3.电阻箱的参考条件℃环境温度20±4℃相对湿度40%～60%，，电阻箱参考功率为0．3W，标称使用功率为1W；4.电阻箱最小步值为0.1Ω，最大阻值调节9999.9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初中物理分组仪器，0～9999Ω。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初中物理电学课堂演示，探究串并联电路电流电压规律、欧姆定律、伏安法测电阻、短路断路现象、简单家庭电路、电能与电功率基础实验。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初中物理电学分组 / 演示实验，直流电源极性反转、双支路切换、小型直流电机正反转控制、等效反向电路对比探究。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1、初中物理演示仪器，供中学物理教学讲解功与热的关系用。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2、使用电源D.C，6V～12V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3、能在10分钟内，演示效果显著。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4、仪器的实验误差小于7％</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1、初中物理分组仪器，供中学物理教学讲解功与热的关系用。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2、使用电源D.C，6V～12V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3、能在10分钟内，实验效果明显。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4、仪器的实验误差小于7％</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1．产品使用电源:交流 198V-242V，50HZ。</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2．面板应采用阻燃材料或金属面板，长度不小于450mm，高度不小于300mm，具有线路压降显示表和工作电流表，有相应的实验电路图，电路图应绘制正确，清晰，不易脱落。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3．绝缘实验导线或裸实验导线用的接线柱应是铜质，接线柱间的距离不小于280mm，绝缘实验导线或裸实验导线与接线柱连接后，导线与面板间的距离不小于80mm。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4．接保险丝的接线柱为铜质。两接线柱间的距离不小于80mm。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5．电路开关开合松紧适宜、控制准确、接线柱、灯泡口接触良好、各连接件连接方便可靠。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材料及要求：保险丝1A、2A、3A、5A各种不少于5米。铜导线，单芯，直径不小于0.5mm，长不小于80mm，数量不少于10根绝缘实验导线，额定电流3A，长不小于290mm，数量不少于30根裸实验导线，单芯，直径≤0.7mm，长不小于285mm，数量不少于10根短路导线，多芯铜线，长不少于150mm，两端有接线夹负载（灯泡），12V/50W，数量不少于4只负载（灯泡），12V/10W，数量不少于2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7．保险丝在长时间通过额定电流时不熔断，通过大于二倍额定电流时短时间熔断。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8．绝缘实验导线的芯心为金属合金导线，外套为无毒塑料管或纸管；当通过电流大于二倍额定电流时，绝缘实验导线的外套管，应能冒烟，燃烧。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9．交流电压表和交流电流表为竖直式大指针表。准确度等级不低于2.5级。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10.在9m外观看实验应清晰。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11.当输入电压为220V时。电源输出空载电压≤14.5V，额定电流时负载电压不小于12V，额定电流值，不小于10A。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12.用裸实验导线连接电路，并在接保险丝的两接线柱间接铜导线，接入产品规定的最大负载，通电5分钟后将负载短路，保持5分钟，关闭电源，重新开启电源，仪器应能正常工作。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初中物理演示仪器，D-CG-YU－80型，学生分组探究磁极间相互作用、磁感线分布、磁化现象、简易电动机模型实验。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1、初中物理演示仪器，电磁学仪器，供中学物理演示永磁体磁场用。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2、由聚苯烯透明塑料板（内附铁磁针）2块，T054磁铁1对，U082磁铁1个构成。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3、小磁针在透明板孔内转动灵活。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1、初中物理演示仪器，用于初中物理演示永磁体磁场和电磁场的存在及磁力线的空间分布。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2、仪器由条形磁铁及六个矩形透明磁感应板立片、蹄形磁铁及月牙形透明磁感应板和固定支架组成。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3、透明磁感应板上装有多个小磁针，磁针转动灵活，其板面应平整光洁、无碰伤、无划痕、无毛刺。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4、透明磁感应板和固定支架易于组装插合。演示时显示磁力线分布的立体空间形状明显、直观。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1．可投影，条形、蹄形；2.由聚苯烯透明塑料板（内附铁磁针）2块，T054磁铁1对，U082磁铁1个构成；3.小磁针直径≤1mm，在透明板孔内转动灵活。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1、初中物理演示仪器，电磁学仪器，供中小学物理演示电流的磁场用。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2、有直线电流，环形电流和通电螺线管磁场三部分。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3、工作电压DC 6V～9V。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4、导线用线径φ0.38mmQZ漆包线。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5、直导线的匝数为50匝，环形绕50匝，螺线管绕44匝。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6、全部演示器件用聚苯烯透明塑料制成。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初中物理电与磁学生分组实验，探究电流磁效应、磁场方向、磁感线分布规律。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初中物理磁学课堂演示，演示磁极相互作用、地磁场、奥斯特电流磁效应、通电螺线管磁场方向、磁感线分布规律。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骨架用黑色塑料制，表面光洁；演示原副线圈底座平整；2.圆筒内径：13±0.5mm，圆筒外径：22±1mm；3.对演示副线圈的要求：圆筒内径：35±1mm，圆筒外径：49±1mm；4.铁芯采用长不小113mm，直径为12±0.2mm的软钢棒，表面镀锌、钝化处理或镀铬；棒的上端应装有塑料手柄。</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原副线圈由原线圈、付线圈、软铁芯三部分组成；原线圈骨架：圆筒内径11mm，圆筒外径15mm，绕线宽度57mm；2.付线圈骨架：圆筒内径24mm，圆筒外径30mm，绕线宽度50mm；3.铁芯：直径10mm,长度不小于77mm,铁芯为软铁制成，要求表面镀锌、钝化处理或镀铬，铁芯的上端应装有塑料手柄；进行电磁感应的实效果应明显；4.原副线圈骨架为黑色塑料制成 ，表面光洁。</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1.密绕细线，稀绕粗线；2.构造：由一个U形铁芯，两个线圈和衔铁组成，线圈外面缠塑料带示线圈绕向；3.铁芯插在线圈内，可以拆下；铁芯和衔铁可以悬挂。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1、初中物理分组仪器，由一个U形铁芯、圆柱形铁芯、线圈、衔铁、指南针等组成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2、线圈外面有绕向标志。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3、工作电压直流6V，工作电流≤1A。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立式，初中物理电磁学演示，讲解电磁铁实际应用、断续自动通断电路、电磁继电器基础原理，搭建电铃完整实验电路。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初中物理电磁学教学，演示电磁继电器工作原理，实现低电压弱电流控制高电压强电流，模拟自动控制、远程控制电路，搭配小灯泡、电机、电铃搭建自动控制实验。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初中物理电磁学分组实验，掌握电磁继电器构造与工作原理，实操低压弱电控制负载电路，模拟声光自动控制、电机启停、远程开关电路。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1、初中物理分组仪器，本产品适用于中学物理实验使用。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2、本产品主要由U形磁铁、导电管、接线柱、支架等组成。导电管为铜质材料制成，磁铁有明显的极性标志。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初中物理电磁学教学，演示左手定则（通电导体在磁场中受力方向）、右手定则（电磁感应感应电流方向），探究磁场、电流、导体运动三者方向关系。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初中物理电磁学分组实验，认识电动机定子、转子、换向器、电刷结构；探究磁场、电流与受力转向关系，演示电能转化为机械能，对比发电机、电动机工作原理差异。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初中物理电磁感应课堂演示，区分交流、直流发电机结构差异，演示机械能转化电能、右手定则、感应电流产生条件，对比电动机与发电机可逆原理。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电机原理说明器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初中物理电磁学课堂演示，讲解直流电动机构造与换向器作用、电磁感应交直流发电机原理，对比电动机与发电机可逆工作过程，验证左右手定则、能量转化规律。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阴极射线管（磁效应管）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初中物理电磁学演示实验，证明阴极射线是高速运动电子流；演示磁场对运动带电粒子的洛伦兹偏转，微观解释通电导线安培力、左手定则本质。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20Hz～20kHz，有功率输出。初中物理声学共振、音调与频率关系、交流电波形观测、LC 振荡电路、示波器配套信号源、脉冲电路、扬声器发声、简谐运动模拟等电学与声学综合实验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1、初中物理演示仪器，本产品适用于中学物理实验使用。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2、本品主要由带控制旋钮的通电螺线管、永久性强磁铁底壳、支撑杆组成。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3、工作电压为12-18V，直注电流最大≤1A。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磁吸附式，由演示板、演示盘、光源、光栏及附件等组成。2.演示板：铝合金板正面喷白色无光漆；3.演示盘：铝合金圆形板，正面喷白色无光漆，角度：四个象限，每象限分别印制1度格值的刻度（0～90度）和10度格位的黑白间隔；4.光源：附独立激光光源三只（稳压恒电源电压6V），白炽光源一只（电压6～8V），供白光的色散与合成和透镜成像之用；5.附件：梯形玻璃砖、等腰直角棱镜、半圆柱透镜、凹凸柱面镜、大双凸柱透镜、小双凸柱透镜、小双凹柱透镜、平面反射、漫反射镜一组、正三棱镜一对、双凸透镜、潜望模型镜、平面反射镜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1.由凹面镜体，托架、支柱、底座各部分组成；2.底座直径Φ105mm，厚度1mm，表面涂清漆，支柱直径Φ8mm，表面电镀，托架呈半圆形，厚度2mm，半圆直径Φ110mm；凹面镜体直径Φ95mm，外部镶嵌黑色塑料外框。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1.由凸面镜体，托架、支柱、底座各部分组成；2.底座直径Φ105mm，厚度1mm，表面涂清漆，支柱直径Φ8mm，表面电镀，托架呈半圆形，厚度2mm，半圆直径Φ110mm；凸面镜体直径Φ95mm，外部镶嵌黑色塑料外框。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导轨、平行光源、透镜、标尺、滑块、透镜框组成；2.导轨：采用￠16双元钢结构；3.平行光源：光源用电压6～8V，功率不小于3W的灯泡；4.标尺：总长为960mm，宽为18mm，刻线长度900mm，最小刻度为1mm，刻线间距误差≤0.1mm，尺全长刻线误差≤±0.5mm；5.滑块：滑块在导轨上移动平稳、方便，固定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光具组</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可完成小孔成像、凸透镜成像、凹透镜发散、光的折射、视深等全套几何光学分组实验；元件插拔稳固，光路同轴调节简便。。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三棱镜体、托架、支柱、底座各部分组成；2.底座直径Φ105mm，厚度1mm，表面涂油漆，支柱直径Φ8mm，表面电镀，托架呈“U”形，厚度2mm，宽109mm，高32mm；3.镜体形状呈三棱柱，三边长都是23mm，高75mm，外部镶嵌黑色塑料外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初中物理演示仪器，课堂演示白光由复色光组成、光的色散、色光可逆合成规律。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1、初中物理分组仪器，本产品适用于中学物理实验使用。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2、由凹透镜、凸透镜、底座、毛玻璃、光屏、激光笔等组成，凹凸透镜均为玻璃制成。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1、初中物理分组仪器，供中小学物理教学实验用。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2、实验器由平面镜、平面镜支架、三角尺、像物、白条、有刻度的直尺组成。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1、初中物理分组仪器，仪器主要由底座、刻度圆盘、激光笔和相应镜片组成。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2、圆盘上应有放置激光笔的支架，激光笔在支架上方便固定和调节。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3、圆盘中央应方便放置各种实验附件。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1、初中物理分组仪器，仪器由光源和滤色片组成。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2、每种滤色片对应的光源应能任意关断或开启。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3、实验在正常光照教室效果明显。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初中物理演示仪器，演示不可见紫外线的多种物理、化学特性。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初中物理演示仪器，证明红外线存在、红外热效应、红外遥控应用原理。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初中物理演示仪器，光学玻璃无杂散光，无畸变；无电源、纯无源光学结构，适合单人分组手持观测；学生手持观察太阳光、灯光、焰色光谱，直观理解光的色散、光谱分类。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轮轴模型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J2120型,定量验证轮轴省力规律：轮半径 / 轴半径 = 阻力 / 拉力；可更换不同直径轮组对比省力差异；初中力学探究轮轴是变形杠杆，定量研究轮半径、轴半径与省力、费距离的关系。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1、初中物理演示仪器，力学仪器，主要用于中学物理教师讲解滑动轴承和滚动轴承之间的关系。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2、选用塑料材料制作。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3、滑动轴承由转轴和轴承两部分组成。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4、滚动轴承由两个环套、钢圆柱组成。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5、两种轴承转动灵活、无卡压、破裂变形等现象。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1、初中物理演示仪器，电学仪器，供中学演示电话原理用。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2、有演示板、话筒模型、听筒模型、电池架等组成。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3、外形尺寸：不小于600×450mm。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4、原理图线条应粗细均匀，无漏印现象，线条宽度不小于2mm。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5、工作电压 DC 4.5V±0.5V。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6、最大工作电流：≤1A。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7、听筒膜片位移不小于2mm。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2、幅面对开；不低于120克铜版纸。幅数不少于5幅。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物质的属性</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物质的结构与物体的尺度</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2、幅面对开；不低于120克铜版纸。幅数不少于1幅。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新材料及其应用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多种多样的运动形式</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机械运动和力</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2、幅面对开；不低于120克铜版纸。幅数不少于13幅。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声和光</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2、幅面对开；不低于120克铜版纸。幅数不少于8幅。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电和磁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2、幅面对开；不低于120克铜版纸。幅数不少于12幅。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能量、能量的转化和转移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2、幅面对开；不低于128克铜版纸。幅数不少于2幅。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机械能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2、幅面对开；不低于120克铜版纸。幅数不少于3幅。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内能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2、幅面对开；不低于120克铜版纸。幅数不少于4幅。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电磁能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2、幅面对开；不低于120克铜版纸。幅数不少于10幅。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能量守恒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2、幅面对开；不低于120克铜版纸。幅数不少于2幅。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能源与可持续发展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1、适用于按照《全日制九年义务教育物理课程标准》编写的并经国家教材审定通过的各种版本的初中物理教材。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2、幅面对开；不低于120克铜版纸。幅数不少于4幅。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3、图像清晰，色泽自然鲜明，套印准缺。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4、版权信息完整。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包括鳄鱼夹、插口夹、香蕉插头、电阻丝、导线等。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包括电阻(碳膜电阻、瓷管电阻、线绕电阻、光敏电阻、热敏电阻等)；电磁继电器、电容、电感、电位器、二极管、发光二极管、三极管、集成电路块等。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包括纳米材料、超导材料、形状记忆合金、单晶和多晶、光导纤维、隐形材料等。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锌片、铜片、磁性橡胶片、小钢球、乒乓球、大头针、回形针、灯泡(15W、60W)、小电池(5号、纽扣、太阳电池)、保险丝、保险管(不同规格的合金熔丝、保险管)、焊锡、松香、橡胶泥、胶帽、泡沫塑料、绝缘胶布、透明胶带、小蜡烛、灯芯、火柴、塑料板、木板、玻璃板、毛巾、棉布、橡皮筋、气球、塑料袋、塑料薄膜、纸板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1、包括红、绿、蓝三种透光胶片。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2、色彩纯正，片面清洁无划伤。</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包括品红、黄、蓝三色颜料。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适量</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甲电池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R40  1.5V。</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每组2个 ，无汞碱性电池。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组</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电珠（小灯泡）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2.5V或3.8V</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1、初中物理学生用工具，由测电头、绝缘手柄组成。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2、采用数字显示；光示感应，数字显示准确、清晰；光亮显示明显。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3、测量范围：交流12V—220V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4、手柄绝缘性能良好。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1、初中物理学生用工具，塑料柄一字螺丝刀。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2、全长约230mm。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1、初中物理学生用工具，塑料柄十字螺丝刀。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2、全长约230mm。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尖咀钳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初中物理学生用工具，可夹紧 Φ0.3～2mm 铜丝、小接线端子、垫圈。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电工刀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初中物理学生用工具，适配 4mm² 及以下单股、多股导线绝缘层剖削；可轻度修整木质实验支架、塑料底座；无高压带电操作设计，仅断电实训使用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手摇钻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手摇传动无卡顿，钻孔垂直度误差≤1°；钻头刃口平整锋利，可钻软木、塑料、薄有机玻璃、橡胶塞；夹持稳固不打滑。</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木锉</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1、规格：250mm,（一套三个）。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2、应配扁木锉1个、半圆木锉1个、圆木锉1个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木工锯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适配松木、桐木、三合板等软质教学木料；切削顺畅不夹锯；最大切割厚度≤25mm。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木工锤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0.25KG，优质高碳钢锥形锤头，硬木锤把，总长度不小于300mm。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木工工具，铇身为硬木。规格300mm×45mm。含刨刃等备件。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斧</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规格：700g，可劈削薄木方、修整实验木支架；斧头与手柄无松动、无开裂；边角打磨钝化，降低磕碰风险。</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1、由钢锯弓、钢锯条组成。金属锯身，锯弓尺寸可以调节，锯条长度300mm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2、手柄握捏部位应光滑舒适。采用钢材。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3、锯架表面不应有裂纹，锈渍、毛刺、剥落等缺陷，表面处理色泽一致。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4、锯条不少于10条。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5、锯条和锯弓配合良好。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剥线长度可控：3～12mm，不伤内部铜芯。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夹持：弯折 Φ0.1～3mm 铜、铁丝，夹紧螺母、接线柱。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规格：0.5kg （圆柱形），锤体用45＃优质碳素钢制成，手锤把为空心钢管。手锤把与手锤连接牢固。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錾子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木工用，10mm平錾。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锉力</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2、每套应配扁锉1个、半圆锉1个、三角锉1个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三角锉力</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什锦锉</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1、规格：180mm×12件。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2、什锦锉一套12件：齐头扁锉、尖头扁锉、半圆锉、三角锉、方锉、圆锉、单面三角锉、刀形锉、双半圆锉、椭圆锉、圆边扁锉、菱形锉。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金工工具箱（教师用）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一、箱体规格描述：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1、材质：ABS注塑成型：规格：≥480*385*205mm，壁厚≥3mm；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2、箱盖正面设有箱体内容说明卡片槽，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3、内部采用至少上、中、下三层EVA隔离填充材料，，每种工具有相对应插槽；                                                                    4、EVA隔离填充材料采用双层双色工艺制作，上层黑色下层黄色；</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▲5、箱盖和箱体采用旋扣式机构锁合，转动实验箱前侧的锁止机构可以锁定箱子。</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6、实验箱的箱体可实现多个堆叠摆放，结构强度支持可达5-8层高可倚靠实验室墙边落地摆放；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▲7、箱盖夹层设计，内置锂电池；箱盖侧面预留有2个USB3.0接口母口和2个type-C接口母口；</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cs="宋体" w:asciiTheme="minorEastAsia" w:hAnsiTheme="minorEastAsia" w:eastAsiaTheme="minorEastAsia"/>
                <w:color w:val="auto"/>
                <w:szCs w:val="21"/>
                <w:highlight w:val="none"/>
              </w:rPr>
              <w:t xml:space="preserve">                                                      8、箱体侧壁预留有金属滑槽；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9、上层EVA含：</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①锂电热熔胶枪*1：≥140*150*42mm，可分离式2000±5%mAh锂电池，TYPE-C接口充电，标配至少12根彩色胶棒；</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②锂电池螺丝刀*1：≥119*103*35mm；1500±5%mAh锂电池，，YPE-C接口充电，三挡扭力调节，LED工作灯，正反转可调；标配2mm钻头*1根、75mm长批头*2根、25mm短批头*24根、60mm一体式接杆*1根；</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③锂电电磨*1：：500±5%mAh锂电池，三挡扭力调节，LED工作灯，过载指示灯（持续亮起约2秒后，过载系统会自动关机保护）；</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另含：钢直尺，300mm，1把；钢卷尺，5m，1把；三角尺，150mm不锈钢，1把；两用扳手，4件/套；什锦锉，6件/套（轴承钢，半圆锉、三角锉、方锉、圆锉、尖头扁锉、齐头扁锉）；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中层EVA含：</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钢丝刷，6排木柄；铁皮剪，8”美式铁皮剪，1把；划规，150mm，1把；样冲，1把；钢锯架，铁皮活动钢锯架，1把；三叉扳手，1套；；丝锤、扳牙扳手，12件/套；内六角扳手，1.5-10mm，9件/套；钢丝钳，6"，1把；尖嘴钳，6"，1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下层EVA含：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扁锉刀，200mm黄黑塑料柄，1把；半圆锉刀，200mm黄黑塑料柄，1把；三角锉，200mm黄黑塑料柄，1把；圆锉刀，200mm黄黑塑料柄，1把；划针，150mm，1把；活动扳手，8"，1把”；圆头锤，锤头1磅木柄圆头，1把；钳工锤，锤头300g，1把；螺丝刀，6*100mm+-PH2，2把；螺丝刀，5*75mm+-PH1，2把；</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二、功能说明：</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1、上、中、下三层EVA隔离填充材料，每种工具有相对应插槽，便于使用后仪器归位还原和缓冲振动；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 EVA隔离填充材料采用双层双色工艺制作，更能凸显零件的立体效果；上层EVA黑色下层黄色，使用不同颜色的材质制造更容易找到相应器材；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3、箱盖和箱体采用旋扣式机构锁合，转动实验箱前侧的锁止机构既可以锁定箱子，也可以实现两箱子间的锁合，便于多箱之间的携带和搬运。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4、箱盖夹层设计，内置锂电池，所以工具箱同时也是一套能源管理仓，可在不开箱情况下对电动工具充电；</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5、箱体侧壁预留的铝合金滑槽，可以使用合金旋钮固定专用夹具，从而拓展工具外挂功能。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电工工具箱（教师用）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一、箱体规格描述：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1、材质：ABS注塑成型：规格：≥480*385*205mm，壁厚≥3mm；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2、箱盖正面设有箱体内容说明卡片槽，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3、内部采用至少上、中、下三层EVA隔离填充材料，，每种工具有相对应插槽；                                                                    4、EVA隔离填充材料采用双层双色工艺制作，上层黑色下层黄色；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5、箱盖和箱体采用旋扣式机构锁合，转动实验箱前侧的锁止机构可以锁定箱子。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6、实验箱的箱体可实现多个堆叠摆放，结构强度支持可达5-8层高可倚靠实验室墙边落地摆放；                                              7、箱盖夹层设计，内置锂电池；箱盖侧面预留有2个USB3.0接口母口和2个type-C接口母口；                                                  8、箱体侧壁预留有金属滑槽；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9、上层EVA含：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①、锂电热熔胶枪*1：≥140*150*42mm，可分离式2000±5%mAh锂电池，TYPE-C接口充电，标配至少12根彩色胶棒；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②、锂电池螺丝刀*1：：≥119*103*35mm；1500±5%mAh锂电池，，YPE-C接口充电，三挡扭力调节，LED工作灯，正反转可调；标配2mm钻头*1根、75mm长批头*2根、25mm短批头*24根、60mm一体式接杆*1根；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③、锂电电磨*1：：500±5%mAh锂电池，三挡扭力调节，LED工作灯，过载指示灯（持续亮起约2秒后，过载系统会自动关机保护）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另含：数显万用表1台；5米钢卷尺1把；直头防静电镊子1把；弯头防静电镊子1把；IC起拔器1把；防静电手环1副；剥线钳1把；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中层EVA含：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螺丝刀；6*100mm 十字一字各一把；螺丝刀5*75mm，十字一字各一把；测电笔数字显示1支；钢丝钳，1把；尖嘴钳，1把；水口钳，1把；电工刀，1把；美工刀，1把；羊角锤,1把；内六角扳手5件套；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下层EVA含：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焊锡丝，1卷；小手锯，1把；刷子，1把，软毛刷；精密螺丝批，6把/套，PH00 PH0 -3.0-2.4 -2.0 -1.4 #0 #1；电烙铁，1把，20V50Hz60W；烙铁架，1付；高温海绵，1块；吸锡器，1把；电工胶布，1卷；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1、上、中、下三层EVA隔离填充材料，每种工具有相对应插槽，便于使用后仪器归位还原和缓冲振动；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EVA隔离填充材料采用双层双色工艺制作，更能凸显零件的立体效果；上层EVA黑色下层黄色，使用不同颜色的材质制造更容易找到相应器材；                                                                    3、箱盖和箱体采用旋扣式机构锁合，转动实验箱前侧的锁止机构既可以锁定箱子，也可以实现两箱子间的锁合，便于多箱之间的携带和搬运。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4、箱盖夹层设计，内置锂电池，所以工具箱同时也是一套能源管理仓，可在不开箱情况下对电动工具充电；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5、箱体侧壁预留的铝合金滑槽，可以使用合金旋钮固定专用夹具，从而拓展工具外挂功能。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精密台式盘锯机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技术参数：                                                                                                                                                1、电压：220V/50Hz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2、功率：≥200W；</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3、工作转速：7000±10%rpm；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4、切割角度：可调整倾斜角度不小于45°；</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5、切割厚度：1-22mm；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6、锯片尺寸：50-85mm两种规格(内径：10mm）；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7、最小误差：0.1mm以内；</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8、最大切割高度：≥22mm；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9、可伸缩式工作台尺寸：≥300*300mm（可伸缩至至少500mm）；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▲10、金属液晶数显定栅标尺；</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11、数显定栅标尺测量范围：以锯片为中心基准左右各0～115mm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▲12、机身正面安装有调速旋钮；</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13、底座背部有连接吸尘器的专用接口；</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14、重量约：5.5kg；</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功能说明：</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1、高度可调节，锯片还可以往左调节45°，以便搭配角度规进行双斜边切割。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2、铝合金液晶数显标尺可对纵向位置进行精密调节，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3、无级调速旋钮可根据加工材料不同，调节不同的切割速度；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4、吸尘口可与吸尘器连接，实现无尘作业。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平口钳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1、规格：Φ1mm～Φ13mm。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2、钻床的主要技术参数：最大钻孔直径13mm，主轴转速范围450r-2650r/min，主轴转速级数4，工作台尺寸240mm×240mm/Ф300mm，电动机370w。</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电压220V，50Hz。功率≥220W。</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手电钻夹持钻头最大Ф13mm。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电钻转速≥3200r/min。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1、一套18个。含直径φ1.5mm、2 mm、5 mm、3 mm、3.5 mm、4 mm 、4.5 mm 、5 mm 、5.5 mm 、6 mm 、6.5 mm、7 mm 、8 mm、9 mm、10 mm、11 mm、12 mm、13 mm不同规格钻头。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2、材料选用高速工具钢制成，并经过淬火和表面防锈处理。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3、可以钻削木料、塑料、金属等材料。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1、额定电压：交流220V、50Hz，单相 300W。</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2、同步转速：3000转/分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3、砂轮尺寸：（外经×宽度×孔径）150×25×32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投影片绘制工具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1、画笔：油性彩色笔，红、黄、蓝彩色笔各一支。笔的两头分别可画出细线和较粗的线条，色彩鲜艳，粘性强，经久不退色，用酒精和松节油可洗掉。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2、透明胶片：20张，清晰度高，透光性好。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1、实验室教师用白大褂。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2、涤、棉混纺，棉不少于50%。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3、样式可男、女通用。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4、大小为XL。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用于实验教师防强光、眩光、紫外、激光，或是机械性伤害(机加工)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1、实验室教师用一般防护棉线手套。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2、通用型。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物理实验室文化布置及配套改造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根据学校要求定制物理高清写真，结构有新意，表达性强。整体设计符合中学生的审美观念。包含基础改造及窗帘配套安装。整体设计符合中学生的审美观念。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（1F）化学数字化分组实验室（48人）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教师演示台，左边设有储物柜，中间段设有抽屉位（教师电源主控系统），电脑键盘位，右边设有多媒体设备位置预留，三节模块拼接组成。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⑴.桌身整体材料1.0mm(±0.2mm)冷轧钢板，整体规格2400×700×850mm(±5mm)，所有金属表面经环氧树脂粉末喷涂高温固化处理和耐酸碱、耐腐蚀。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⑵.滑道导轨：抽屉全部采用优质三节承重式滚珠滑道开合十万次不变形。铰链：采用优质铰链，开合十万次不变形。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⑶.脚垫：采用柜体内置可调ABS脚垫，保证桌面平整，防水防潮，延长设备使用寿命。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3、台面要求：采用≥15mm厚新型整张无拼接陶瓷台面。台面表面为实验室专业耐磨、高硬度、安全美观釉面。釉面与胚体经高温一体烧结而成，不脱落、不脱层。为满足实验室对台面苛刻的要求。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教师智能电源主控台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1.结构参数：教师智能电源主控台面板基材是2mm绝缘电工板；面纸采用耐磨、耐腐蚀、耐高温的PC亮光薄膜面板；规格：420×220mm；界面文字清晰美观。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3.技术参数：采用商业级10.1寸触摸显示屏；24位彩色显示；双8051单芯片驱动方案；GUI核运行；界面清晰明了。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4.智能电源管理系统：默认账号登录；可显示当前北京时间、中文星期和温湿度。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⑴.教师自用电源：可输出交流0-30V，分辨率1V，直流0-30V，分辨率0.1V，配备虚拟数字表实时显示电流，显示分辨率为0.01A，具备过流短路保护功能。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⑵.直流高压：输出直流240V/300V高压，小电流过载短路保护。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⑶.直流大电流：输出直流低压大电流延时输出，延时20S自动关断，也可手动随时开启或关断，实时显示当前状态。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⑹。电子举手功能：分A、B、C、D四组，当老师开启提问状态时；学生反馈举手功能，在老师界面上实时显示举手状态与位置。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⑺.系统设置：该界面可设置教师编号、关机时间、开机验证方式以及语音播报是否开启。多样性的修改选项，包括但不限于设备参数、出厂设置、密码更改和时间设置等。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⑻.教师端语音播报功能：系统为教师端配备智能语音辅助系统，提供实时操作引导，电源相关功能触发时自动播报。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1、规格:500×500×800mm(±5mm)。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2、靠背及下座采用高密度网布格，阻燃、舒适、回弹性好。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3、面料为优质网布格.依照人体工程学设计，线条流畅，美观大方。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4、骨架钢管电镀，气动升降。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移动智能水槽（滴水架）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1、结构参数：水槽柜整体外形规格：600×469×820mm；水槽、柜体、底座三段组合式结构；水槽面部下沉式构造，水槽台面设有预留安装紧急洗眼器、洗手液瓶、二联水嘴预留孔，水槽内部设有一个防溢水口。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水槽为PP改性材料，呈上宽下窄-底部收口式造型。整体外形规格：600×469×495mm（含下排水管口）；上口内尺寸：400*414mm，下口内尺寸：366×385mm，水槽檐口离底部深度：419mm；水槽三面围绕高76mm的围边；洗涤时水不易外溅；水槽内部带滴水架，滴水架带不少于12根滴水棒，滴水棒可以翻转收纳，底部排水口位二个凸起20mm高溢水板，水槽顶部预留收纳翻盖，有收纳水管功能；检修门带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3、水槽柜体：600×469×640mm；材质1.0mm镀锌钢板，表面经防锈处理、环氧树脂静电粉末涂装处理，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4、水槽水槽底座：600×469×80mm。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三联“L”型化验水嘴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主体材质为加厚铜管，主管管径26mm铜管，表面经环氧树脂喷涂处理。2、双龙头可以独立折叠式。4、实验室龙头采用壁式安装，壁厚2.5mm，固定底座直径50mm，底座锁母与台面中间添加齿形止退垫，使连接后不易松动稳定性强，与台面安装牢固。双联龙头可以分开折叠90度收纳。5、开关旋钮：材质PP。6、水咀三通与上控水阀，用200T四拉液压机、模具一体热冲成形，密度高，强度大，牢固耐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台式单口紧急洗眼器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1、台面安装方式，平时放置于台面，紧急使用时可随意抽起，使用方便。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2、洗眼喷头：具有过滤泡棉及防尘功能，上面防尘盖平常可防尘，使用时可随时被水冲开，并降低突然打开时短暂的高水压，避免冲伤眼睛。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3、控水阀采用黄铜制作，经高亮度环氧树脂涂层处理，外观美观大方，阀门可自动关闭，密封可靠。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学生实验桌（陶瓷面板）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1、桌子整体外形规格：≥1200×600×780/900mm。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2、一体化台面：采用≥20mm厚无甲醛新型环保陶瓷台面，台面表面为实验室专业耐腐蚀、耐刻刮、耐污染釉面。坯体一体实芯黑色坯体，釉面和坯体经高温一体烧制而成。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▲3、“陶瓷板”需满足如下参数要求：</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（1）外观要求：外观为五面坯体，表面釉面为烧成颜色；坯体敲碎后，无空洞、无直径2mm以上气泡、无杂色，为一体实芯坯体；釉面与坯体之间无脱层，釉面与坯体呈一体结构，釉面为烧成颜色，非坯体颜色。</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（2）台面表面耐污染性能:检测内容不低于 60种试剂</w:t>
            </w:r>
            <w:r>
              <w:rPr>
                <w:rFonts w:cs="宋体" w:asciiTheme="minorEastAsia" w:hAnsiTheme="minorEastAsia" w:eastAsiaTheme="minorEastAsia"/>
                <w:color w:val="auto"/>
                <w:szCs w:val="21"/>
                <w:highlight w:val="none"/>
              </w:rPr>
              <w:t xml:space="preserve">，至少含氢氧化钙饱和溶液、二氧六环99%、甲酚红、乙醇99%、王水、红药水、硝酸银、立顿红茶(9g/L)、氢氧化钾、硝酸65%、硫酸98%、二甲苯、高氯酸72%、二甲基甲酰胺99%、乙醚99%、糠醛99%、甲苯99%、过氧化氢、仁和碘酒、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（3）抗冲击性能：为保证台面使用的安全性，台面抗冲击性（恢复系数）不低于0.854。</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（4）台面表面耐冷热循环性能：为避免热胀冷缩对台面造成的伤害，检测结果需达到台面表面无裂纹无鼓包现象。</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（5）颜色稳定性：为保证台面的美观度，耐光色牢度不低于4级。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4、折叠学生桌整体钢铝结构；桌腿设计为上下两段折叠结构；学生位镂空式，易碰撞部位均采用倒圆角；处理金属表面经环氧树脂粉末喷涂高温固化处理。技术参数要求满足如下：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（1）台面三围栏：前围栏≥1155×15×77mm铝合金型材；左右围栏规格≥405×25×77mm铸铝成型，围栏高出桌面≥50mm；防止仪器设备掉落的风险。</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（2）桌面前围栏上端功能围栏；功能围栏横杆：≥1176×14×24mm铝合金型材；围栏横杆底座铸铝成型；高出桌面≥120mm。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（3）台面支框架≥20×30mm距形方钢管焊接成型。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（4）桌腿上段“T”字型铸铝成型≥400×48×250mm，壁厚度2.5mm(±0.2mm)。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（5）铸铝功能合页镶入立柱上端，规格≥110×40×49mm，将“T”字型铝铸件与立柱相扣连，折叠角度最大可达90°。</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（6）铝合金型材立柱，规格≥110×40×450mm。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（7）支撑梁：≥20×40mm 椭圆无缝钢管，两端与5mm厚钢制连接片焊接，并用高强度内六角螺丝连接链接到左右两侧立柱脚上，便于组装及拆卸。</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（8）桌腿横梁加固件：规格≥100×35×200mm(±2mm)，厚度为：3mm(±0.2mm)。铸铝成型，悬臂式结构，用螺丝安装在左右横梁与桌腿上，拆装方便（非焊接式安装）确保实验桌牢固度。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（9）下脚采用铸铝成型规格：≥565×60×53mm。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5、书包斗：改性环保PP注塑成型，前沿设挂凳口，底部设有加强筋加固。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6、电源盒：ABS 注塑成型，前口翻盖式弧面设计。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升降学生实验凳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四支凳脚椭圆形无缝钢管抓地，凳面PP改性塑料一次性注塑成型，冷轧钢板凳面圆形托盘，螺杆式旋转可调升降，整体规格：ф300×（450）≥500mm±0.2mm。所有的金属表面经环氧树脂粉末喷涂高温固化处理耐酸碱、耐腐蚀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⑴.凳面环保型PP改性塑料一次性注塑成型；规格ф305mm(±5mm)；厚5.8mm(±0.5mm)；凳面表层有颗粒凸起花纹；防滑、按摩、抗疲。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⑵.凳面高低调节升降螺杆旋转，调节范围450mm-500mm自由调节。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⑶.凳脚架四支凳脚椭圆形无缝钢管；规格34×16mm；厚度1.4mm(±0.2mm)，凳脚架焊接全圆满焊接。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⑷.凳面托盘冷轧钢板；规格ф220mm(±0.2mm)；厚度2.2mm(±0.2mm)，钢板托盘有凹凸冲压成型加强筋，使凳子更加稳固。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⑸.脚垫PP加耐磨纤维质塑料，实心倒勾式一体成型，防止防滑和保护地板划痕。</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1、结构参数：注塑模具化成型，四角直角造型，功能柱上端带有电源插座和网络接口，免螺丝安装检修口活动板，底脚两侧带与地面带安装孔，内部隐藏实验线管及通风管道，左、右合并拼接而成。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2、技术参数：整体规格378×180×740mm(±5mm)，壁厚2.5mm，采用PP材料，免螺丝安装检修口活动板规格：223×132mm.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学生智能安全实验电源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1、结构参数：学生智能安全实验电源面板基材是绝缘ABS注塑一次成型；面纸采用耐磨、耐腐蚀、耐高温的PC亮光薄膜面板；规格：157×94mm(±2mm)；界面文字清晰美观。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2、学生电源信息显示：采用1.8寸彩色TFT为显示界面，配合高速MCU可流畅显示GUI。</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四路多功能轻触开关为控制主体，在不同状态下实现不同功能，具体详细参数如下：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⑴.交流电源：输出0-30V交流，分辨率为1V，电流实时显示，显示分辨率为0.01A，具备过流短路保护。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⑵.直流电源：输出0-30V直流，分辨率为0.1V，电流实时显示，显示分辨率为0.01A，具备过流短路保护。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⑶.插座高压：输出交流220V电源，由老师控制，界面有实时状态显示。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⑷.过载保护：当低压电源有过流或短路时，电路实现过载保护功能，此时界面提示过载，随后应检查实验电路或负载是否正确，排除问题后可按任意按键实现电源复位。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⑹.电子举手：当老师有提问时，界面可显示老师提问状态，可选择性举手，老师可在主控端实时显示学生举手状态及位置。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移动智能水槽（滴水架）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1、结构参数：水槽柜整体外形规格：600×469×820mm；水槽、柜体、底座三段组合式结构；水槽面部下沉式构造，水槽台面设有预留安装紧急洗眼器、洗手液瓶、二联水嘴预留孔，水槽内部设有一个防溢水口。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水槽为PP改性材料，呈上宽下窄-底部收口式造型。整体外形规格：600×469×495mm（含下排水管口）；上口内尺寸：400*414mm，下口内尺寸：366×385mm，水槽檐口离底部深度：419mm；水槽三面围绕高76mm的围边；洗涤时水不易外溅；水槽内部带滴水架，滴水架带不少于12根滴水棒，滴水棒可以翻转收纳，底部排水口位二个凸起20mm高溢水板，水槽顶部预留收纳翻盖，有收纳水管功能；检修门带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3、水槽柜体：600×469×640mm；材质1.0mm镀锌钢板，表面经防锈处理、环氧树脂静电粉末涂装处理，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4、水槽水槽底座：600×469×80mm。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三联“L”型化验水嘴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主体材质为加厚铜管，主管管径26mm铜管，表面经环氧树脂喷涂处理。2、双龙头可以独立折叠式。4、实验室龙头采用壁式安装，壁厚2.5mm，固定底座直径50mm，底座锁母与台面中间添加齿形止退垫，使连接后不易松动稳定性强，与台面安装牢固。双联龙头可以分开折叠90度收纳。5、开关旋钮：材质PP。6、水咀三通与上控水阀，用200T四拉液压机、模具一体热冲成形，密度高，强度大，牢固耐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全屋水电、实验桌安装调试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1、全屋水电、桌椅安装，方便安装、检修等。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2、系统控制调试，对整套系统进行全面控制功能调试等。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3、供电系统调试，对供电线路、配电单元及各用电模块进行通电调试等。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十三</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（1F）化学数字化分组探究实验室器材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教师端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1.支持Windows、Android、iOS/iPadOS、HarmonyOS、macOS、Linux、统信UOS、麒麟等操作系统。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1.pH探头由内部参比电极和玻璃电极构成，用于测量溶液的酸碱值。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1.用于测量溶液的电导率及其变化。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1.量程：0~20000μS/cm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3.分辨率：6μS/cm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传感器正面为电源指示灯，前端为探头插孔，后端为Lightning接口，附件为高温探头。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1.用于测量物体表面、气体、酸碱等液体的温度，也可用于超低温及高温的测量。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3.高温探头为为3.5mm耳机插头，耳机插孔式连接，无干扰。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1.量程：-200℃~1200℃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3.分辨率：0.25℃</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4.红外气体吸收检测型传感器，具有很好的选择性，高灵敏度，无氧气依赖性，寿命长，低功耗，无需预热等特点。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5.支持传感器复位，用于校准传感器。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2.精度：±100ppm(0~1000ppm)；±(100ppm＋5%读数值)(1000~10000ppm)；±10%(10000~50000ppm)；±15%(50000~100000ppm)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传感器主体正面有电源按钮、电源和蓝牙指示灯、传感器名称、蓝牙编号、0.96英寸OLED显示屏；主体前部为开合舱体，可放入比色皿进行实验。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1.用于测量溶液对于不同颜色的入射光的吸光度、透光率，以及溶液的浊度。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2.传感器内置蓝牙无线模块，使用蓝牙5.0技术，低功耗运行和待机。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4.可脱机进行数据采集。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5.色度/浊度切换简单，通过电源按钮或软件设置切换，提供多种波长选择。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6.传感器具有唯一蓝牙编号，便于数据终端选择性连接。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8.连接方式：蓝牙无线或有线。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9.节能方式：传感器打开电源，但无连接或连接无活动，几分钟后自动关闭电源。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10.支持固件空中升级。                                                                                               11.支持平台：Windows、Android、iOS/iPadOS、MacOS、 Linux、Harmony OS、统信UOS、麒麟等。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浊度：0~400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浊度：±5%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浊度：0.1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4.采样速率:10次/秒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5.连续使用时间:≥50 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6.通讯距离:≥30m（空旷无遮挡）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7.可充电锂电池，电池型号：3.7V 1000mAh</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1.用于测量空气的相对湿度。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2.精度：±4%（10%~90%RH）</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传感器正面为电源指示灯，前端为Q9接口，后端为Lightning接口，附件为溶解二氧化碳电极探头、填充液、电极帽。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1.用于测量溶液中的二氧化碳的含量。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                                                                                      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1.量程：0.2ppm~440ppm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2.分辨率：0.1ppm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由传感器主体和前端探头连接构成。主体正面有电源按钮、电源和蓝牙指示灯、传感器名称；背面有蓝牙编号及电池仓，机身外壳与电池仓用密封圈密封。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2.传感器内置蓝牙无线模块，使用蓝牙5.0技术，低功耗运行和待机。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4.可脱机进行数据采集。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5.传感器具有唯一蓝牙编号，便于数据终端选择性连接。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6.使用纽扣电池，电池可更换，一枚电池可正常课堂使用1年以上。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7.可实现微小的温度变化快速采样。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9.连接方式：蓝牙无线。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10.节能方式：传感器打开电源，无连接或连接无活动，几分钟后自动关闭电源。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11.支持固件空中升级。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12.可切换单位：℃、℉、K。                                                                                              13.支持平台：Windows、Android、iOS/iPadOS、MacOS、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1.量程：-40℃~125℃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2.分辨率：0.01℃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3.精度：±0.5℃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4.采样速率：10次/秒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5.连续使用时间：≥120小时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6.防水等级：IP67</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7.通讯距离：≥30m（空旷无遮挡）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8.电池型号：CR2032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传感器正面为电源指示灯，前端为导线插孔，后端为Lightning接口，附件为红黑导线、鳄鱼夹。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1.用于测量电路、电器两端的电压。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6.可以对微小的电压变化快速采样。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7.支持传感器校零。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1.量程：-30V~30V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3.分辨率：0.02V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4.输入阻抗：2MΩ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充电坞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一、外形及材质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外形尺寸：≥342mm×198mm×228mm（含防尘罩）；基座材质：ABS；防尘罩材质：透明ABS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二、技术参数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输入电压：85 ~ 264VAC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输入电流：1.4A/115VAC  0.85A/230VAC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频率：50/60Hz</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输出（单通道）：5V /2A DC</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由充电坞、电源线、防尘罩组成。充电坞含有≥5个独立的充电位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四、功能和应用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1.专为智能数字实验盘设计的充电装置，可同时对≥5台实验盘进行充电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2.每个充电位相互独立，采用触点式充电，实验盘即插即充，操作方便，充满自动断电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3.每个充电位可输出5V/2A充电电压/电流，充满1个实验盘只需3小时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实验器罐体、护线圈*5、硅胶堵头*5、塑料吸管*20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1.用于生化实验中光合作用、酵母菌的呼吸作用等实验。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3.实验桶透明设计，便于观察实验现象。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4.配合二氧化碳传感器、氧气传感器可做光合作用吸收二氧化碳产生氧气的实验。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5.配合二氧化碳传感器、氧气传感器、气体酒精传感器可做酵母菌的细胞呼吸实验。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6.配合二氧化碳传感器、氧气传感器、相对湿度传感器可做人体吸入与呼出气体成分的探究实验。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离子-滴定计数器装置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无线智能离子-滴定计数器、滴定组件（注射器针筒*1、三通阀*2、滴嘴*1）、滴定套装（多向转接头*2、铝杆、长尾夹）、铁架台、梅花螺栓、手紧螺丝、pH传感器探头、Type-C数据线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1.用于生物、化学学科中各种滴定类实验和部分离子含量的测定，如酸碱中和滴定、酸碱反应热实验、钠钾钙等离子浓度的检测。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滴定计数器可通过光电门计量液滴滴落的数量，同时传感器可直接接入滴定计数器中，测得溶液中待测量的数据变化，智能采集，无需手工记录和画图，自动生成滴定曲线，并在Windows、安卓、iOS系统终端上实时呈现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内置滴数、pH、亚硝酸根离子、氯离子、钠离子、铵根离子、硝酸根离子、钙离子、钾离子、温度10种传感器模块，配置lightning接口、Q9接口、3.5mm接口，支持接入10余种离子传感器探头，如：pH传感器、温度传感器、溶解二氧化碳、亚硝酸根离子传感器、硝酸根离子传感器、氯离子传感器、铵根离子传感器、钠离子传感器、钾离子传感器、钙离子传感器等。</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4.配置两套三通阀，可实现液体滴落开关和流速控制独立操作。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5.滴定计数器带有传感器安装孔，方便固定传感器探头。</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实验结果更准确，pH传感器精度为0.1，能够精确地测量在滴定过程中溶液中微小的pH变化，自动生成滴定曲线，可在曲线坐标查找滴定终点（pH=7）时溶液的体积，用于计算待测液的浓度，让学生更好地理解酸碱中和滴定的意义及pH突变的存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7.最大滴定速度：30滴/s。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8.低功耗蓝牙技术，数据传输距离远，安全稳定。</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9.电池容量：1000mAh锂电池，独立供电，续航持久，可连续工作24小时，待机时间大于5个月。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▲10.支持独立采集模式，支持外接设备采集，支持无线传输。</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用于生物、化学学科中各种滴定类实验和部分离子含量的测定、如酸碱中和滴定、酸碱反应热、钠钾钙等离子浓度的检测等实验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搅拌器（开关、转速旋钮）、电源适配器、磁子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1.专用于液体搅拌，用于生化学科中需要溶液搅拌的相关实验，适合于常规实验化学分析、液体处理、生物试剂混合等领域，简单易用。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2.通过调节转速旋钮调节速度，转速支持0rpm～1800rpm，可调范围广。工作台尺寸：130*130mm，外观尺寸：150*200*55mm，净重：0.5kg，电源电压：12V。</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密封反应瓶、注液阀门开关、注射器（10mL）、压强传感器接口、泄压组件（260±10kPa）</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1.用于探究催化剂对过氧化氢分解的影响、金属与酸反应、酶催化的高效性等。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系统终端上实时呈现数据，实验规律更加直观，适用范围广泛。</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▲3.装置设有螺口注射器及注液阀门开关，保证全程密封的情况下，注入液体定量可控，可一次或分段多次注入，实验高效且保证安全性。</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▲4.装置设有泄压阀（泄压阀安全值260±10kPa），压强过高时会自动泄压，充分保证了实验的安全性。</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5.透明瓶体设计，便于观察实验现象，可从多维度了解实验。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6.与传感器适配性好，轻松搭建密封的实验环境，减轻准备器材的负担，轻松满足演示及分组实验，让课堂教学更高效。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催化剂对化学反应速率的影响、金属与酸反应、酶催化的高效性等实验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酸碱反应热实验器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绝热桶、隔热泡沫、带孔桶盖、硅胶塞、烧杯（100mL）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1.用于化学反应热的精确测量相关实验。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2.实验器可容纳液体、固体和液体，为溶液反应和固体的溶解提供保温的实验环境。通过温度传感器，可测得温度变化情况，并在Windows、安卓、iOS系统终端上实时呈现数据，取点更加准确，计算数据误差小。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3.双层隔热设计保温性能好，实验数据更加准确。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4.带孔桶盖适配常规温度计和温度传感器，支持传统实验教学及数字化实验设计，实验灵活。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5.大小适用，既可以节省试剂，也可以很好地测量溶液温度的变化。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6.通用性高，一个实验器可完成多个教材实验，还可以满足多种溶液反应吸放热实验的测量。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7.配套专用实验软件，预设模板，以曲线等形式自动记录数据变化情况，实验结果更直观明显。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酸碱反应热、固体溶解时的吸热放热现象、化学反应热的测量、氢氧化钡与氯化铵的反应等实验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蜡烛燃烧的探究实验器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由透明亚克力实验箱*1、密封盖*1、橡胶塞*8（含侧面全封塞*2、顶面全封塞*3、二氧化碳传感器探头孔塞*1、湿度传感器探头孔塞*1、溶解氧-气中氧一体传感器探头孔塞*1）、小蜡烛*2、点火器*1组成。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1.用于蜡烛燃烧的探究实验。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2.实验箱、密封盖、橡胶塞可轻松搭建密闭实验环境，透明箱体便于观察箱体内部的实验现象。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3.可配合二氧化碳传感器、溶解氧-气中氧一体传感器、相对湿度传感器等多个传感器使用，也可单独测量某一个量，并在Windows、安卓、iOS系统终端上实时呈现数据。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蜡烛燃烧的探究实验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铁的吸氧腐蚀实验器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平口圆底试管（52*100mm）、橡胶塞、宝塔头、硅胶堵头*2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1.用于铁的吸氧腐蚀实验的探究，通过测量反应过程中温度、压强、氧气含量的变化，探究铁的吸氧腐蚀现象。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具有匹配不同传感器探头的孔径，密封性良好，配合温度传感器、溶解氧-气中氧一体传感器、绝对压强传感器测量铁在吸氧腐蚀过程中温度、氧气含量、压强的变化，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3.试管体积足够大，增加反应物的接触面积，能使反应物在试管内部充分反应，实验效果明显。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4.透明瓶体设计，便于观察实验现象，可从多维度了解实验。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5.与传感器适配性好，轻松搭建密封的实验环境，可拓展完成多种化学实验。减轻准备器材的负担，轻松满足演示及分组实验，让课堂教学更高效。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探究铁的吸氧腐蚀现象等实验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空气中氧气含量测定实验器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高压电源、反应发生装置（底座、集气瓶、燃烧匙、孔塞、烧杯）、电源线、香蕉插头转鳄鱼夹导线</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1.用于空气中氧气含量的测量，不仅能观察到红磷燃烧的现象，还可以监测红磷燃烧过程中氧气含量的变化以及瓶中压强的变化情况。</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★2.利用高压电源产生电火花点火，实验过程不直接接触燃烧的红磷，有效减少燃烧物及其产物对人体的危害，实验安全性高。</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★3.反应发生及检测全程密闭，有效减少红磷燃烧后再放入集气瓶导致内部空气受热膨胀外泄产生的误差，实验数据更精准。</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4.集气瓶上有传感器插入孔，适配性好，可配合氧气传感器、绝对压强传感器直观的显示氧气含量和瓶内气压的变化过程，在Windows、安卓、iOS系统终端上实时呈现数据。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空气中氧气含量测定等实验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方形缸体及盖板*2、锌电极*2、铜电极*2、铁电极*2、发光二极管、鳄鱼夹导线*2、U型双头端子线*2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1.用于研究电解池或者原电池。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2.配合微电流传感器或电压传感器可清楚地看到原电池产生电流或电压的大小，并在Windows、安卓、iOS系统终端上实时呈现数据，同时电路中的发光二极管会点亮，用于探究原电池的工作原理，实验现象明显。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3.缸体采用透明材质设计，可以看到反应过程，实验更加直观。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4.提供三种金属作为电极，可选用不同材料作为原电池的电极进行探究。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单孔塞（φ37*φ30-31，孔φ5mm）、单孔塞（φ37*φ30-31，带直通接头）、单孔塞（φ37*φ30-31，孔φ15.5mm）、三孔塞（φ37*φ30-31，两孔φ8mm，一孔φ12.5mm）、三孔塞（φ37*φ30-31，两孔φ8mm，一孔φ15.5mm）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1.单孔塞（φ37*φ30-31，孔φ5mm）搭配锥形瓶，孔径与传感器适配性高，可接入温度传感器，密封性好，可用于需要在密封环境中测量温度相关生化类实验，并在Windows、安卓、iOS系统终端上实时呈现数据。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3.单孔塞（φ37*φ30-31，孔φ15.5mm）搭配锥形瓶，孔径与传感器适配性高，可接入二氧化碳传感器，密封性好，可用于需要在密封环境中测量二氧化碳相关生化类实验，并在Windows、Android、iOS/iPadOS、MacOS、 Linux、Harmony OS、统信UOS、麒麟等系统终端上实时呈现数据。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6.适用于多种实验，减轻教师准备或自制器材的负担，解决适配性难题，轻松满足教师的实验教学需要。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铁的吸氧腐蚀、种子的萌发等实验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氢氧燃料电池实验箱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1、外形尺寸：437mm*327mm*170mm（两箱叠加高度H=330mm）；材质：ABS；手提翻盖式 ；最大承重：30-35公斤；内部含有内衬，保证每个器材都有对应的存放位置，便于快速、高效的整理和收纳；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3、纽扣式锁合：转动实验箱前侧的锁止机构既可以锁定箱子，也可以实现箱子与箱子之前的锁合，便于携带和搬运                                         二、主要配置                                                       由太阳能电池（130mm×93mm）、PEM电解槽模块、PEM燃料电池模块、转接头、储气罐、支撑杆（L：250mm）组成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三、功能和应用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可模拟演示氢氧燃料电池专题实验（使用PEM电解槽产生氢气和氧气、使用PEM燃料电池产生电能、太阳能-氢气系统、风能-氢气系统、PEM电解槽的电流-电压特性曲线、PEM电解槽的法拉第效率和能量效率、PEM燃料电池的电流-电压特性曲线、PEM燃料电池的法拉第效率和能量效率、电解槽-燃料电池系统的效率、空气自吸式燃料电池的电流-电压特性曲线）</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探究强酸与强碱的中和滴定AR实境增强实验套件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一、系统清单</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实境增强（AR)系统软件、强酸与强碱的中和滴定配套器材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二、主要器材配置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1.实境增强（AR)系统软件：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“强酸与强碱的中和滴定”AR软件，可以在软件步骤引导下顺利完成此实验。另还配有此实验的AR定位卡纸（A4尺寸），可以辅助完成器材的定位。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酸式滴定管、碱式滴定管、滴定管夹、三角瓶、白色滴瓶、试剂瓶、洗瓶、烧杯、记号笔、标签纸、支撑杆、铁架台底座等。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三、系统功能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可以通过扫码或实验选择，在联网状态下快速进入具体的实验场景；AR中的各实验元素的位置、动画都与</w:t>
            </w:r>
            <w:r>
              <w:rPr>
                <w:rFonts w:hint="eastAsia" w:cs="宋体" w:asciiTheme="minorEastAsia" w:hAnsiTheme="minorEastAsia" w:eastAsiaTheme="minorEastAsia"/>
                <w:color w:val="auto"/>
                <w:szCs w:val="21"/>
                <w:highlight w:val="none"/>
              </w:rPr>
              <w:t xml:space="preserve">配套器材完全匹配；AR中有小机器人逐步讲解实验的每步操作和要点，以及在实验末尾进行规律总结；可以结合对现实实物的观察，对应每个局部，动画展现其内部结构，帮助学生对物品进行学习和认知；可以结合现实现象，展示肉眼看不见的重要信息和规律，帮助学生对抽象事物的理解，构建完整知识框架；AR模式可以连接真实的传感器无线连接，实时采集真实的实验数据，绘制表格或者图象；并且实验数据可以和动画联动，方便学生对规律的理解；可以在AR软件中选择3D展示模型，脱离实验器材，仍然可以观看所有实验步骤。且此实验步骤完全与AR中的对应。</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学生端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1.pH探头由内部参比电极和玻璃电极构成，用于测量溶液的酸碱值。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1.用于测量溶液的电导率及其变化。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1.量程：0~20000μS/cm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3.分辨率：6μS/cm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溶解氧气中氧一体传感器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一体式传感器，Lightning接口，附件为校准液、电极帽。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1.用于测量气体、溶液中的氧含量。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3.可支持气中氧校准、溶解氧标定功能。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溶氧：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1.量程：0~20mg/L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2.精度：±0.5mg/L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气氧：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4.红外气体吸收检测型传感器，具有很好的选择性，高灵敏度，无氧气依赖性，寿命长，低功耗，无需预热等特点。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5.支持传感器复位，用于校准传感器。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2.精度：±100ppm(0~1000ppm)；±(100ppm＋5%读数值)(1000~10000ppm)；±10%(10000~50000ppm)；±15%(50000~100000ppm)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实验器罐体、护线圈*5、硅胶堵头*5、塑料吸管*20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1.用于生化实验中光合作用、酵母菌的呼吸作用等实验。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3.实验桶透明设计，便于观察实验现象。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4.配合二氧化碳传感器、氧气传感器可做光合作用吸收二氧化碳产生氧气的实验。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5.配合二氧化碳传感器、氧气传感器、气体酒精传感器可做酵母菌的细胞呼吸实验。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6.配合二氧化碳传感器、氧气传感器、相对湿度传感器可做人体吸入与呼出气体成分的探究实验。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密封反应瓶、注液阀门开关、注射器（10mL）、压强传感器接口、泄压组件（260±10kPa）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1.用于探究催化剂对过氧化氢分解的影响、金属与酸反应、酶催化的高效性等。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系统终端上实时呈现数据，实验规律更加直观，适用范围广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3.装置设有螺口注射器及注液阀门开关，保证全程密封的情况下，注入液体定量可控，可一次或分段多次注入，实验高效且保证安全性。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4.装置设有泄压阀（泄压阀安全值260±10kPa），压强过高时会自动泄压，充分保证了实验的安全性。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5.透明瓶体设计，便于观察实验现象，可从多维度了解实验。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6.与传感器适配性好，轻松搭建密封的实验环境，减轻准备器材的负担，轻松满足演示及分组实验，让课堂教学更高效。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催化剂对化学反应速率的影响、金属与酸反应、酶催化的高效性等实验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十四</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（1F）化学准备室（含危化品室）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3、上柜门：采用增强型PP材质一体注塑成型，外嵌4mm(±0.5mm)钢化烤漆玻璃,中间玻璃做镂空处理，透明可视。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4、下柜门：采用增强型PP材质一体注塑成型，外嵌4mm(±0.5mm)钢化烤漆玻璃。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5、门把手：采用增强型PP材质一次注塑成型，安装于两门的门缝处，凹凸配套，增加柜子内部的气密性。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7、门铰链：用改性pp材料模具一次成型，伸缩式pp旋转门轴，内嵌隐藏方便安装，耐腐蚀。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8、柜门固定所需螺丝均采用304不锈钢，柜子内部空间无裸露金属材料，确保柜子的耐腐蚀性。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9、柜子顶部留通风系统接口，与通风管路连接；接口处配有手动调节装置，可以打开或关闭通风口。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1、规格：1000×500×2000mm(±5mm)（内附PP阶梯）                              </w:t>
            </w:r>
            <w:r>
              <w:rPr>
                <w:rFonts w:hint="eastAsia" w:cs="宋体" w:asciiTheme="minorEastAsia" w:hAnsiTheme="minorEastAsia" w:eastAsiaTheme="minorEastAsia"/>
                <w:color w:val="auto"/>
                <w:szCs w:val="21"/>
                <w:highlight w:val="none"/>
              </w:rPr>
              <w:t xml:space="preserve">                                                                                                                                                    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3、上柜门：采用增强型PP材质一体注塑成型，外嵌4mm(±0.5mm)钢化烤漆玻璃,中间玻璃做镂空处理，透明可视。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4、下柜门：采用增强型PP材质一体注塑成型，外嵌4mm(±0.5mm)钢化烤漆玻璃。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5、门把手：采用增强型PP材质一次注塑成型，安装于两门的门缝处，凹凸配套，增加柜子内部的气密性。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7、门铰链：用改性pp材料模具一次成型，伸缩式pp旋转门轴，内嵌隐藏方便安装，耐腐蚀。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8、柜门固定所需螺丝均采用304不锈钢，柜子内部空间无裸露金属材料，确保柜子的耐腐蚀性。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9、柜子顶部留通风系统接口，与通风管路连接；接口处配有手动调节装置，可以打开或关闭通风口。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智能立式操作终端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操作终端设备尺寸H1375*W410*D500mm，分为上下结构，可拆分，上部操作区域含显示控制模块和电器元件模块，电器元件模块做散热处理预留检修口；下部储存区域，配移动式脚轮，方便使用；采用21寸触摸屏（含摄像/人脸）、安卓主机、天平称重、IC卡及二维码识别、打印机；软件包含终端操作系统、PC端管理后台及微信小程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天平采用最大称量值6100g，可读性0.1g，读数稳定时间最快可以达到1秒钟，提供快速、准确的称量结果；刷卡/扫码识别自动感应，蜂鸣提示，读卡距离（卡片）3~6cm，读取距离（二维码）0-20cm，读取速度＜200ms，扫描速度快，识别率高，兼容性强；</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操作终端系统支持试剂的全流程管理，包括出入库、领取领用、归还用完、盘点等操作，并可自定义设备环境，提供设备巡检等功能，支持系统自动退出模式，自定义设置退出时间时长，无操作系统自动退出，再进行操作时需重新登录系统。</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▲4、系统配置</w:t>
            </w:r>
            <w:r>
              <w:rPr>
                <w:rFonts w:cs="宋体" w:asciiTheme="minorEastAsia" w:hAnsiTheme="minorEastAsia" w:eastAsiaTheme="minorEastAsia"/>
                <w:b/>
                <w:bCs/>
                <w:color w:val="auto"/>
                <w:szCs w:val="21"/>
                <w:highlight w:val="none"/>
              </w:rPr>
              <w:t xml:space="preserve">（可提供产品彩页、软件界面截图、第三方检测报告、官方技术白皮书任一材料，材料需真实可溯源，不得通过AI、修图软件虚构、篡改设备功能界面）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4.1支持用户名/密码、刷卡、人脸、远程授权验证，系统设置双人双锁权限管理模式，支持特殊情况下其中一人远程授权验证模式；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4.2、具有完善的人员权限分级管控，实验人员可操作权限范围内的设备功能，具体可实现到柜列的单独分区管控；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4.3、支持设备基础信息设置、阈值设置、风机管理、耗材管理等；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4.4、入库模块支持双人进行权限验证，用户验证通过登录系统，支持扫码识别入库，支持批量入库，支持根据配伍禁忌原则优先推荐合适库位入库，支持根据历史记录入库，支持可选择非管控品不称重入库功能等，可通过系统提升入库库位选择的效率和进行合理储存分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4.5、出库模块支持双人进行权限验证，用户验证通过登录系统，打开对应柜门，取走所需的物品；支持批量出库、支持历史记录出库、支持申领模式下出库、支持出库不称重模式；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4.6、归还注销模块，针对需归还的试剂采用责任到人的管理模式，实验人员可使用操作台归还权限范围内的化学试剂，在规范的归还流程基础上生成准确的台账信息，避免乱拿乱放，如果到期未归还则触发预警通知；如化学品已用完，可在归还时进行注销；特殊情况化学品废弃污损、化学品过期等也可支持单独注销；</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4.7、盘点模块支持抽样、重点、全盘等三种盘点方式，盘点方式更灵活，根据实际使用情况进行选择；系统可自动计算物品的库存量，进行数据对比盘点，判断库存数量或重量的误差（损耗），自动生成台账；</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4.8、巡检系统根据设定时间自动检查和自动记录巡检结果，巡检结果包含巡检时间、异常原因、操作人、设备状态等；操作人员也可根据手动巡检模块来检查设备的状态，添加手动巡检数据，系统生成台账，支持巡检异常上报；</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4.9、操作记录模块支持查询试剂从入库、出库、归还、用完、注销、盘点、巡检等操作记录，支持模糊查询；</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4.10、设置模块支持环境信息阈值设置、风机设置、耗材管理、基础信息管理；支持登入方式设置、系统超时设置、柜门自动上锁设置等。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4.11、PC管理端实现权限分配和流程管控，记录试剂出入库及不规范操作，并提供查看功能。对设备阈值、库位数据等操作进行记录，支持试剂操作、库存、预警、环境、设备等的数据分析，MSDS导入与维护，并提供消息实时查看与审批功能等；</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4.12、数据展示及查询：可以支持查询系统内的试剂每天领用数据、操作数据、异常数据、待归还数据等，支持数据可视化，支持多级层级查看；</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4.13、权限模块：权限能界定不同等级实验人员在危险化学品管理中的权责范围，后台预置多级权限，支持excel表格批量上传数据和导出数据；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4.14、智能柜管理权限分配：支持具体到校级、院级、实验室级、实验柜级等多级别管理模式；</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4.15、试剂管理模块：基本信息录入包括试剂的名称、别名、编码、CAS号、管控类别、危险性类别、规格、重量、所属地区、所属库位、操作人员、有效期、供应商、试剂状态等；支持权限范围内的试剂生命周期查看，支持可视化展示化学品总量和分类等数据；支持配伍禁忌策略配置，遵循合规分类储存；系统包括危险化学品名录及易制爆、易制毒等名录的MSDS数据查看，支持MSDS数据的导入与日常维护；</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4.16统计分析：实时记录试剂流转状态，进行数据统计与分析，包括查询库存数据、历史领用数据、预警信息、环境信息、设备巡检、库存盘点数据等，提供完整的使用数据和信息，支持查看所有化学品库存统计和库存明细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智能试剂柜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一、技术参数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1、外部尺寸：不小于H1800*W900*D450mm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2、内部尺寸：不小于H1710*W820*D370mm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3、重量：不小于140kg</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4、容积：不小于160升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5、开门方式：手动/自动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6、层板：不小于四板可调层板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7、门型：双门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8、锁具：双锁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9、颜色：黄色（环氧树脂喷涂）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柜体：需全部采用不低于1.0mm的一级冷轧钢板，柜体底座需采用不低于2.0mm的一级冷轧钢板,内外表面需经酸洗磷化环氧树脂粉末喷涂，烘热固化处理，整柜全部通过点焊接，防火性好。柜体在90分钟耐火实验过程中，储存易燃品安全柜的最高温度≤48℃，柜内易燃品盛液容器或器皿无裂痕、无泄漏，完好无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11、柜门：钢琴式铰链可轻松自如启闭180度，门与柜体间配有嵌入式防撞胶粒。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12、层板：不少于4块镀锌层板，承重≥100kg，并可引流漏液至下部漏液槽。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13、漏液槽：高度≥50mm使层板上意外流下的液体不外溢柜外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14、锁具：三点联动式门锁即使不转动把手也可保证完全闭合，配机械防腐挂锁。</w:t>
            </w:r>
            <w:r/>
          </w:p>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15、铰链：钢琴式铰链，确保门能开180度。柜体门与柜体之间安装防火膨胀密封条，密封条符合相关要求。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16、警示标识：专业规范的警示，反光.烟雾中可视。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17、通风口：装设有防闭火装置的双透气孔。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18、静电接地：严格按照OSHA规范，柜身设有静电接地传导端口，方便连接静电接地导线。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19、柜体可对接智能设备物联网平台，实现多种类型智能设备接入、管理、监控、控制。设备管理平台，能够基于电脑端及移动端实现多种设备在线分级管控，基于智能设备物联网平台实现智能设备在线云控、售后服务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20、所有设备链接试剂管理平台实现试剂出入库管理、环境监控、风机管理、巡检管理等模块功能，提供技术资料支持；储存必须遵循化学试剂的禁忌分类原则，明确试剂基本信息、管制类别、贮存类别以及相关试剂属性信息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三端出入库软件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终控端支持试剂的全流程管理，包括出入库、领取领用、归还用完、盘点等操作，并可自定义设备环境，提供设备巡检等功能。PC管理端实现权限分配和自定义流程管控，记录试剂出入库及不规范操作，并提供查看功能。对设备阈值、库位定义等操作进行记录，支持试剂操作、库存、预警、环境、设备等的数据分析，MSDS导入与维护，并提供消息实时查看与审批功能等。微信小程序包含流程管理、消息查看、设备管理等，实现流程的发起与审批，消息的查看与设置，设备数据的远程查看，系统登录的远程授权，以及个性化主题等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1、通风风机：双速轴流风机。                                                                                                                                                                                      2、采用PVC风管，具有耐酸碱性能。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规格：主风管直径160mm，支风管直径110mm。管卡采用碳钢制作，表面经镀铬处理，具有耐腐蚀、防火、防潮等功能。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1、规格：2400×1200×850mm(±5mm)。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2、台面：采用12.7mm厚双面膜实芯理化板。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5、铰链：采用知名品牌115度铰链，开合十万次以上。                                                                6、防撞胶垫：采用橡胶材质，装于门板内侧，减缓碰撞，保护柜体。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7、脚垫：采用ABS注塑专用可调脚垫，既保证演示台平稳又能有效防止柜身受潮，延长设备使用寿命。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准备室安装调试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包含所供产品室内安装要调试，方便安装、检修。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十五</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（1F）化学实验室通用仪器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1、黑板为双面金属，中间为人造板，并与金属板粘结可靠，四周镶边。2、美观、精致、洁美、牢固。无精面反光，色泽均匀，书写流畅。3、尺寸为900mmX 600mm。4、使用无尘粉笔应手感流畅，充实，笔迹清晰，经反复擦拭，无明显遗留粉笔痕迹。5、黑板提手位于长边边框中间，安装牢靠，挂起或提拿时无明显倾斜。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采用优质钢材，镀铬处理。1.管长90mm。2.穿孔管用外径为6mm、8mm、10mm、12mm，壁厚1mm的冷拔无缝钢管。3.手柄用2mm厚低碳钢板。4.通用条Ф3mm、长90mm碳素钢制成。5.四件为一套。6.可穿4mm、6mm、8mm、10mm的圆孔。</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1、产品由上夹板、下夹板、螺钉及紧固蝴蝶螺母等组成。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2、产品长不小于175mm,宽不小于40mm。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3、上下夹板应由实木制成，表面光洁。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4、上夹板应备有直径为约6mm,8mm,10mm,12mm直穿孔4个。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5、紧固螺钉与下夹板紧固为一体，不得松动；紧固螺钉长度不小于80mm.上夹板上下高度可调，由蝴蝶螺目定位。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6、上夹板、下夹板厚度不小于11mm，具有足够强度，正常情况下使用不得断裂。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1、产品由刀架、刀片、刀片定位销钉、刀片张角定位螺钉和手柄组成。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2、刀架应采用金属材料制作，表面作防锈处理。刀架工作端为1：4锥度圓锥体，经调节刀片张角，可修削刀口直径4mm～13mm的打孔器刀口。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3、刀片应采用工具钢片，具有足够钢性和硬度。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4、手柄表面光洁，大小适当，握持手感舒适。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5、刀片与刀架配合灵活，便于装拆。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规格：0r/min～3000r/min,10mL×6</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1、产品应采用优质塑料注塑成型作支架，沉淀管用半透明塑料组成； 2、产品由固定支架、手柄、变速机构、离心机构四部分组成；3、可变速度50-150次/分； 4、各部结构应可靠、灵活，金属部分电镀。</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1、使用电源： AC 220V±22V  50Hz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2、消耗功率： 300W±25W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3、能够搅拌1000 ml 玻璃烧杯中的实验物质。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4、电机采用无级调速，调速范围为 250 r / min ～ 2600 r / min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5、加热温度采用无级调温，调温加热盘温度小于300℃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6、搅拌时噪声≤55 dB（A）。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1、初中化学通用仪器，供学校弯曲、加热、熔接各种玻璃管、棒用，坐式。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2、规格：200ml。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3、材料：铜材或不锈钢。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4、焊接牢固，底和身成型结合后应双层折边焊接以保证不漏液。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5、火焰稳定，大小调节方便。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6、最高温度应能达到800℃。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密封式，适用实验：初中化学物质溶解、蒸发浓缩、蒸馏、溶剂回流、饱和溶液制备、有机物加热等全部加热类分组演示实验，替代明火热源，提升实验室安全等级。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1、化学实验清洗玻璃仪器用。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2、瓶体用无毒塑料制成，容积250ml。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3、喷管直径φ7mm，插入洗瓶底部位置，喷头部位弯制成60°角，喷嘴拉制成尖形，喷嘴内直径φ1mm。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1、托盘外形尺寸不小于300mm×250×70mm。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2、托盘材质应为ABS材质。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1、木质或竹质或塑料制品。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2、长≥48cm，宽≥30cm，高≥38cm,厚≥1cm。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3、外形平整、厚薄均匀，无明显偏斜。承重不小于15KG。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塑料制，250mm×180mm×100mm。附集气架。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1、密闭式。由玻璃密封管体和手柄组成，管的高度≥45mm，直径≥30mm，两端内凹面深度为4±1mm。管内密封碘的质量≥0.1克。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2、手柄长≥100mm，直径为ф6±1mm。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3、管体外形端正，玻璃熔接平滑均匀，无气泡、无条纹。管体在90℃热水中检测无泄漏（无气泡溢出）。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4、管体应耐80℃温差的急冷骤热。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5、升华与凝华的全过程耗时应≤10分钟。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初中物理分组仪器，整套组装垂直度、平整度符合国标；夹持承重稳定无下滑；全金属件防锈耐酸碱，耐高温适配加热实验；无尖锐毛刺，学生操作安全。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1、中学化学实验中夹持特殊器械或不规则物品用。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2、成型规整、美观，表面无锈蚀，无损伤。</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3、具备可靠的强度和夹持能力，便于与实验装置配合、组装。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三角架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1、有铁环和三只脚两部分。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2、铁环由铸铁制成，内径75mm，外径100mm，铁环底面有互为120°、直径15mm的三个圆台，用于加固三只脚。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3、三只脚用直径φ5mm的圆钢制成。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4、三只脚脚距应相等，脚与环结合应紧固。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5、三只脚脚部应在同一平面内,放在平台上,三角架应平稳,环面在一平面内,平直度应小于0.5mm。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1、由3支空心陶瓷管组成，外形尺寸：不少于直径φ11×58mm。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2、用铁丝分别从3支陶瓷管空心穿过，然后组成三角形。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1、实验室用具，供放置试管用。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2、木质或塑料制成,12孔。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3、上板尺寸约445mm×35mm×5mm；孔径为22mm＋1mm。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4、下板尺寸约445mm×80mm×15mm。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5、连接上下板的立柱为17mm×80mm。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6、管柱外直径φ9mm＋1mm。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漏斗架由漏斗板、电镀杆及底座三部分组成；2、漏斗板用冷板冲压成型，表面上有4个梯形孔，梯形孔表面有胶圈。3、电镀杆为Φ10×350mm金属杆,表面镀铬,一头有Φ8×14mm为螺纹。4、底座为Φ125mm圆盘铸件，中间有一Φ8mm内螺纹，底座烤漆。整体喷涂均匀，无漏喷和脱涂现象，表面光洁，无划痕、毛刺。5、电镀杆光亮，无脱镀现象，底座放置平稳；6、立杆与底座组装后应垂直，漏斗板组装后与立杆垂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1、实验室用具，供放置试管用。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2、木质或塑料制成,12孔。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3、上板尺寸约445mm×35mm×5mm；孔径为22mm＋1mm。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4、下板尺寸约445mm×80mm×15mm。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5、连接上下板的立柱为17mm×80mm。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6、管柱外直径φ9mm＋1mm。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1、左右可夹持直长度为不小于800mm，容量为不小于50ml的滴定管两支，最大夹持直径不小于20mm，夹持竖质量不小于1kg。</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2、夹体、夹脚由铝合金铸制而成，表现防腐处理，两对夹脚均应套乳胶管。扭力弹簧表面镀锌。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1、管架应由底座、主柱、管夹等组成，表面应具防腐处理层。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2、管夹应夹持牢固、稳定可靠。管夹表面应具缓冲垫，应防腐蚀。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3、应具固定漏斗、烧瓶、试管等装置。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4、夹持滴点管数量≥4支。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初中物理分组仪器，输出直流电压1.5V-9V,1.5A.每1.5V一档。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初中物理演示仪器，交流2V～12V,5A,每2V一档。直流1.5V～12V,2A；分为1.5V、3V、4.5V、6V、9V、12V，共六档。大电流40A，8S自动关断。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1、计量仪器，供中小学学生分组实验用。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2、最大称量：100g，0.1g。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1、计量仪器，供中小学学生分组实验用。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2、最大称量：500g，0.5g。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2、最大称量：100g，0.001g。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2、最大称量：400g，0.1g。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初中物理演示仪器，不低于交流5级，直流2.5级。</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密度大于1g/cm3。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密度小于1g/cm3。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笔式，测量范围：pH0～14，分辨率：0.1。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1、供中学化学演示水的电解实验用。                                                                                       2、与方座支架、学生电源配合使用；电源电压：DC2</w:t>
            </w:r>
            <w:r>
              <w:rPr>
                <w:rFonts w:hint="eastAsia" w:cs="宋体" w:asciiTheme="minorEastAsia" w:hAnsiTheme="minorEastAsia" w:eastAsiaTheme="minorEastAsia"/>
                <w:color w:val="auto"/>
                <w:szCs w:val="21"/>
                <w:highlight w:val="none"/>
              </w:rPr>
              <w:t xml:space="preserve">V～24V。                                                                               3、由玻管两支、球形漏斗、活塞和电极组成。电极为铂片或钛合金片，尺寸10mm×5mm×0.1mm，铂片纯度99.8%。玻管：外径15mm±2mm，长度450mm±3mm，容积为40ml。活塞密封性能良好。球形漏斗容积不少于60ml。玻件应光洁透明，厚度不小于1mm，烧结口厚薄均匀，平整光滑牢固。玻件经退火处理，用偏光应力仪观察。应呈紫红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1、供中学化学学生分组实验用。                                                                                           2、与学生电源配合使用；电源电压：DC2V～6V。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由底座、透明盛液管、活塞和电极组成。透明盛液管应光洁透明，厚度不小于1mm，厚薄均匀，平整光滑牢固；电极为铂片或钛合金片，尺寸10mm×5mm×0.1mm；底座应稳固，不变形。</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1、供中学化学课学生分组进行原电池实验用。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2、产品由缸体、电极、导线、发光二极管（或电珠） 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3、缸体由透明塑料制成,实验有效容积不小于160ml，距缸口15mm处的缸壁上有溶液标志线。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4、产品配备铜、锌电极二对，电极厚度约1.2mm，宽不小于18mm。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5、产品配备叉头导线2根，长度不小于400mm。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6、进行原电池实验时，能使发光二极管（或电珠）发光，连续发光时间不小于2min。</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1、化学实验室设备，用于收集、贮存气体。</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2、由底座、手柄、支架、气球嘴、锁紧螺母、贮气球、气嘴、气嘴阀门、气胆阀门、手压球各部分组成。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3、气球嘴、气嘴应紧固、牢靠, 在使用中不得产生松动现象。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4、底座与支架组装成后，底座未经调平，支架与底面的垂直度≤5mm。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5、气嘴阀门、气胆阀门的耐磨性能好，气密性良好。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实验资源管理云平台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账号角色和数量：1、学校管理员*1；2、实验室管理员*1；3、备课组长*1、学科老师*3，共计：不少于6个账号。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集实验设备管理、预约管理、实验资源管理、库存管理、实验室管理、决策报表于一体的在线管理平台，记录实验室所有的实验设备，并及时反应设备状况、使用情况，以供学校师生及管理人员合理安排实验；详细的操作记录、日志模块便于管理人员对实验设备进行有效管理，掌握实验设备动态，辅助教师决策和解决实验中遇到的难题。平台不仅涵盖了理科实验中的设备信息，还整合了实验资源内容，提供不少于500+个实验资源内容，解决了实验教学资源匮乏的问题。</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1.系统管理：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学校信息设置：包含学期管理、年级管理、账号管理。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2.设备管理：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包含仪器的名称、编号、规格、分类、数量等信息，可自行创建添加仪器。仪器库和实验课程资源具备相互关联性。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3.预约管理：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老师先进行课程编排，才能预约实验课程；然后是实验室管理员根据实验室排期情况、仪器数量是否满足的情况下，对教师预约的课程计划进行审定。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4.实验资源管理：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可查看实验库实验资源内容信息及数量，也可根据自身需要设计、添加实验方案。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5.库存管理：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主要包含对实验仪器的库存数量及位置、出借、维护等方面的管理。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6.实验室管理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设置实验室的数量、位置及相关信息，便于实验室的预约与使用管理。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7.数据统计：可查看学生分组实验开展情况、演示实验情况、实验室使用情况、仪器情况等信息。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8.心愿单管理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心愿单指的是教师/备课组长根据各自的教学情况新增的仪器方面的需求，教师提交需求后，实验室管理员/实验室总管理员在心愿单中查看心愿单信息并审批，操作通过后，心愿单会在系统中传达至学校管理员处。</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包括金刚石、石墨、碳-60三种结构模型；小型，球管式，可拆卸。</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1、金属矿物标本由方铅矿、闪锌矿、黄铜矿、磁铁矿、铝土矿等组成，其矿物外形要求、包装要求应符合ＪＹ0005-90《矿物岩石标本》中的相关规定。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2、金属标本由铁、铅、锌、铜、铝等组成。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3、合金标本由钢、黄铜、不锈钢、铍铜、磷青铜等组成。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1、供初中化学教学使用。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2、标本为石油分馏结构示意图，有各过程中的原油示样；分：原油、汽油、柴油、轻柴油、重油、重柴油、轻润滑油、重润滑油、渣油。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3、装油瓶应透明、且无油溢出、密封良好、固定美观、牢固。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4、包装盒上盖面应透明，包装盒应牢固。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1、适用于初中化学教学中演示高分子材料的特征、用途。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2、产品选用十种以上高分子材料标本。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3、每种材料标本外形尺寸不小于50mm×15mm×1mm。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4、选用新型及用途较为广泛的材料作为标本，样品特征明显，在标本盒内固定牢靠。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5、每种样品均应有相应标志，及性质、特征、用途的文字简介。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1、适用于初中化学教学中演示新型无机非金属材料的特征、用途。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2、产品选用氧化铝陶瓷、氮化硅陶瓷、光导纤维等五种以上新型无机非金属材料标本。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3、每种材料标本外形尺寸不小于50mm×15mm×1mm。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4、选用新型及用途较为广泛的材料作为标本，样品特征明显，在标本盒内固定牢靠。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5、每种样品均应有相应标志，及性质、特征、用途的文字简介。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走进化学实验室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1、符合国家教材审定通过的各种版本的普通初中化学教材。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2、幅面对开；挂图专用纸纸。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3、图形逼真，色彩鲜明，线条清晰。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1、符合国家教材审定通过的各种版本的普通初中化学教材。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2、幅面对开；挂图专用纸纸。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3、图形逼真，色彩鲜明，线条清晰。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物质构成的奥秘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1、符合国家教材审定通过的各种版本的普通初中化学教材。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2、幅面对开；挂图专用纸纸。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3、图形逼真，色彩鲜明，线条清晰。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1、符合国家教材审定通过的各种版本的普通初中化学教材。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2、幅面对开；挂图专用纸纸。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3、图形逼真，色彩鲜明，线条清晰。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1、元素周期表为布质附轴，有外围电子排布。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2、规格：尺寸不小于1360 mm×1000 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3、元素周期表采用彩印，文字和符号应清晰。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中学化学投影拼板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可自由拼接所有初中气体制备、净化、收集、反应装置，适配课堂投影设备。</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规格：酸式，25mL。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规格：碱式，25mL。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规格：φ12mm×70mm。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规格：φ15mm×150mm。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规格：φ18mm×180mm。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规格：φ20mm×200mm。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规格：φ32mm×200mm,硬质。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1、规格：φ20mm×200mm。试管长200±5.0，外径为20±1.0mm，支管外径8±1.0mm，支管长35±5.0mm，试管壁不小于1.0mm。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2、试管应连接平滑牢固，不得有未扩散的料堆，支管不得有明显偏歪。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1、加热条件下的反应器。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2、规格：φ15mm×150mm。管外径15mm±1mm，长150mm±5.0mm，壁厚1.2mm±0.3mm。管身圆度误差≤3%。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1、加热条件下的反应器。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2、规格：φ20mm×250mm。管外径20±1mm，长250±5.0mm，壁厚1.2±0.3mm。管身圆度误差≤3%。</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圆底、长颈，250mL。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平底、长颈，250mL。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规格：100mL。瓶身最大外径64mm±1.5mm，瓶颈外径22mm±1.0mm，瓶颈高24mm±1.5mm，瓶全高105mm±3.0mm，壁厚≥0.8mm。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规格：250mL。瓶身最大外径85mm±2.0mm，瓶颈外径34mm±1.5mm，瓶颈高34mm±2.0mm，瓶全高140mm±3.0mm，壁厚≥0.9mm。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规格：250mL。瓶身外径88mm±2.0mm，瓶颈外径25mm±1.5mm，瓶全高220mm±3.5mm，支管长180mm±5.0mm，直管外径8mm±0.5mm，瓶口到支管接口距离66mm±5.0mm，壁厚≥0.9mm。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1、规格：150mL，单头。灯体高80mm±10mm，灯盖高62mm±3mm，全高120mm±12mm，灯体直径84mm±5mm，灯口直径20mm±2mm，灯颈高25mm±5mm，灯体壁厚1.5mm±0.5mm，灯盖壁厚2.5mm±1mm。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2、以酒精为燃料的加热工具，由灯体、灯芯管和陶瓷灯帽组成，灯身与灯盖盖合精密。灯身无密集气泡，无密集条纹。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1、规格：500ml。瓶全高200mm±8mm，支管外径10mm±2mm。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2、是实验室中使用的一种玻璃器皿，的外形极似锥形瓶，只是在管口处多开了一个侧向的连接口，用来接上塑胶管再接到抽气泵上。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3、瓶的壁厚、底厚应均匀。</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1、内外管应在同一轴线上，内管喷口正对下管口，两口间距≤3mm。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2、内管喷口磨平，不允许有斜口和缺口，直观内磨砂浮子必须活动自如，不得阻塞不懂。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3、外观节瘤最大直径小于2mm，数量≤3个，结石最大至今小于1.5mm，数量≤2个。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规格：160mm。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mL；1.产品由底部带孔、颈部为圆球状的磨口试管（附胶塞）及具支、磨口锥形烧瓶构成。2.外形尺寸：试管及烧瓶壁厚均大于9mm。试管口直径24mm，颈部球径38mm，全长180±5mm。烧瓶底径80mm，高140mm，支管外径8mm，支管长30mm。4#胶塞。</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3.仪器外观无明显的结石、节瘤、气泡等玻璃缺陷。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规格：直形，300mm。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规格：60mm。斗口外径60mm±3mm，斗高51mm±3mm，斗下支管长60mm±4mm，斗壁厚≥1.2mm，下支管外径7mm～9mm，下支管壁厚1.5mm～2mm。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规格：90mm。斗口外径90mm±4mm，斗高72mm±4mm，斗下支管长90mm±5mm，斗壁厚≥1.5mm，下支管外径10mm～12mm，下支管壁厚1.5mm～2mm。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1、直形。全长300mm±10mm，斗高52mm±3mm，下管直径7mm～8mm，斗口壁厚1mm～1.3mm。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2、漏斗的下管应与斗对称轴线基本重和。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1、双球形。全长352mm±13mm，斗高52mm±3mm，下管直径7mm～8mm，斗口壁厚1mm～1.3mm。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2、漏斗的下管应与斗对称轴线基本重和，双球应基本在意水平线上，管应在球的中心，不得有明显歪斜。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规格：锥形，100mL。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规格：梨形，50mL。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1、规格：80mm。瓷，白色，均匀无杂色。釉面光洁，无气泡，无疵点，无裂纹。无碰损缺口。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2、漏斗不允许有明显的椭圆现象，口部平整。漏斗内滤孔均匀分布，滤孔板无凹凸不平。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1、规格：T形。φ7mm～8mm。下支管长度不小于50mm±5mm，全长不小于100mm±10mm，壁厚≥1mm。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2、外观：节瘤最大直径≤1.5mm，数量≤3个。结石最大直径≤0.8mm，数量≤2个。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1、规格：Y形。φ7～8mm。下支管长度不小于50±5mm，全长不小于100±10mm，壁厚≥1mm。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2、外观：节瘤最大直径≤1.5mm，数量≤3个。结石最大直径≤0.8mm，数量≤2个。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1、规格：8mm×90mm、 8mm×100mm、 8mm×150mm、 8mm×200mm。                                                             2、外观：节瘤最大直径≤1.5mm，数量≤3个。结石最大直径≤0.8mm，数量≤2个。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1、规格：10ml。圆柱管直径17mm±1mm，圆锥管高42mm±3mm，圆锥管直径7mm，全高110mm±5mm，壁厚不小于0.7mm。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2、外观：节瘤最大直径≤1.5mm，数量≤3个。结石最大直径≤0.8mm，数量≤2个。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1、规格：单球，150mm。干燥管的球厚薄均匀，无明显歪颈、塌肩。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2、节瘤最大直径小于2mm，数量≤3个，结石最大直径小于1mm，数量≤2个。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1、规格：U型，φ15mm×150mm。U形弯管正确，不能有明显的膨大或扁瘪，两管口高度误差≤5mm。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2、节瘤最大直径小于2mm，数量≤3个，结石最大直径小于1mm，数量≤2个。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1、规格：直形活塞。</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2、活塞孔与支管内口对正，偏差不得超过塞芯孔直径的1/3。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3、活塞外观气线：最大宽度小于0.5mm，长度小于支管全长的2/3，4条以下；节瘤：最大直径小于1.5mm，4个以下；结石最大直径小于1mm，2个以下。不得有锋边存在。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规格：φ200mm×100mm。外径200±10mm，全高100±10mm，壁厚≥3mm，沿高10±2mm。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规格：φ270mm×140mm。外径270±10mm，全高140±10mm，壁厚≥3mm，沿高10±2mm。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1、色泽：正视无色。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2、规格：φ150mm×280mm ；器边磨平，磨边高低差≤3mm，不得有粘合缝空气边。磨砂面宽不小于10mm。圆度误差≤4%。宽不小于0.4mm，长≤器全长1/2，≤3条。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3、应力：在偏光应力仪下，呈紫红色或扩散淡蓝色。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1、规格：125mL，附毛玻璃片。瓶全高103mm±5mm，瓶身径56mm±2mm，正方形盖板边长65mm±5mm，正方形盖板厚2～3mm。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2、瓶口平面磨砂，能跟毛玻璃保持严密接触。正方形改版单面细磨，表面平整，不得碰损。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1、规格：250mL，附毛玻璃片。瓶全高130mm±6mm，瓶身径70mm±2mm，正方形盖板边长65mm±5mm，正方形盖板厚2～3mm。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2、瓶口平面磨砂，能跟毛玻璃保持严密接触。正方形改版单面细磨，表面平整，不得碰损。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                                                                                                         2、由长颈集气瓶,开瓶口盖、胶塞、燃烧匙配成一套。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1、规格：60ml。无色。瓶全高78mm±5mm，瓶身壁厚≥1mm，瓶底厚≥1.5mm。瓶口大径24mm±1mm，瓶塞高15mm±2mm。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1、规格：125ml。无色。瓶全高103mm±5mm，瓶身壁厚≥1.2mm，瓶底厚≥1.8mm，瓶口大径29mm±1mm，瓶塞高22±2mm。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1、规格：250ml。无色。瓶全高130±5mm，瓶身壁厚≥1.3mm，瓶底厚≥2.0mm，瓶口大径34±2mm，瓶塞高23±2mm。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1、规格：500ml。无色。瓶全高160±5mm，瓶身壁厚≥1.3mm，瓶口大径40±2mm，瓶塞高25±2mm。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1、规格：60ml。棕色。瓶全高78mm±5mm，瓶身壁厚≥1mm，瓶底厚≥1.5mm。瓶口大径24mm±1mm，瓶塞高15±2mm。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1、规格：125ml。棕色。瓶全高103mm±5mm，瓶身壁厚≥1.2mm，瓶底厚≥1.8mm，瓶口大径29mm±1mm，瓶塞高22±2mm。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1、规格：250ml。棕色。瓶全高130mm±5mm，瓶身壁厚≥1.3mm，瓶底厚≥2.0mm，瓶口大径34mm±2mm，瓶塞高23mm±2mm。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1、规格：60ml。无色。瓶全高85±5mm，瓶身壁厚≥1mm，瓶底厚≥1.5mm。瓶口大径18±1mm，瓶塞高24±2mm。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1、规格：125ml。无色。瓶全高105mm±6mm，瓶身壁厚≥1.2mm，瓶底厚≥1.8mm。瓶口大径18mm±1mm，瓶塞高24±2mm。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1、规格：250ml。无色。瓶全高135±6mm，瓶身壁厚≥1.3mm，瓶底厚≥2.0mm。瓶口大径21±1mm，瓶塞高28±2mm。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1、规格：500ml。无色。瓶全高162mm±6mm，瓶身壁厚≥1.3mm，瓶底厚≥2.0mm。瓶口大径21mm±1mm，瓶塞高28±2mm。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1、规格：1000ml。无色。瓶全高200±8mm，瓶身壁厚≥1.7mm，瓶底厚≥5、mm。瓶口大径29±1mm，瓶塞高32±2mm。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1、规格：3000ml。无色。瓶全高280mm±10mm，瓶身壁厚≥1、mm，瓶底厚≥3.2mm。瓶口大径38mm±2mm，瓶塞高40mm±3mm。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1、规格：60ml。棕色。瓶全高85mm±5mm，瓶身壁厚≥1mm，瓶底厚≥1.5mm。瓶口大径18mm±1mm，瓶塞高24mm±2mm。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1、规格：125ml。棕色。瓶全高105mm±6mm，瓶身壁厚≥1.2mm，瓶底厚≥1.8mm。瓶口大径18mm±1mm，瓶塞高24mm±2mm。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1、规格：250ml。棕色。瓶全高135mm±6mm，瓶身壁厚≥1.3mm，瓶底厚≥2.0mm。瓶口大径21mm±1mm，瓶塞高28mm±2mm。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4、其余要求应符合JY/T 0423-2011的规定。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1、规格：500ml。棕色。瓶全高162±6mm，瓶身壁厚≥1.3mm，瓶底厚≥2.0mm。瓶口大径21±1mm，瓶塞高28±2mm。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1、规格：1000ml。棕色。瓶全高200mm±8mm，瓶身壁厚≥1.7mm，瓶底厚≥5、mm。瓶口大径29mm±1mm，瓶塞高32mm±2mm。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2、由瓶及塞子构成，瓶口内侧磨砂，跟玻璃磨砂塞或橡胶塞配套。瓶口与瓶肩要求倾倒液体时不产生喷噎现象，易清洗。瓶体和瓶塞用同一材料制成。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3、磨砂面应均匀，不小于92%。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1、规格：30ml。无色。瓶全高70mm±4mm，瓶身径38mm±2mm。瓶口大径14mm±1mm。滴管全高73mm±5mm。滴管头高10mm±2mm。瓶身壁厚≥1mm，瓶底壁厚≥1.5mm。滴管壁厚≥0.8mm。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2、滴瓶上的滴管与滴瓶配套使用，瓶口内侧磨砂，磨砂面应均匀。胶头与滴管头部应紧密配合。滴管在瓶内应正直，不能有明显歪斜。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1、规格：60ml。无色。瓶全高85mm±5mm，瓶身径44mm±2mm。瓶口大径18mm±1mm。滴管全高90mm±5mm。滴管头高12mm±2mm。瓶身壁厚≥1mm，瓶底壁厚≥1.5mm。滴管壁厚≥0.8mm。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2、滴瓶上的滴管与滴瓶配套使用，瓶口内侧磨砂，磨砂面应均匀。胶头与滴管头部应紧密配合。滴管在瓶内应正直，不能有明显歪斜。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1、规格：30ml。棕色。瓶全高70mm±4mm，瓶身径38mm±2mm。瓶口大径14mm±1mm。滴管全高73mm±5mm。滴管头高10mm±2mm。瓶身壁厚≥1mm，瓶底壁厚≥1.5mm。滴管壁厚≥0.8mm。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2、滴瓶上的滴管与滴瓶配套使用，瓶口内侧磨砂，磨砂面应均匀。胶头与滴管头部应紧密配合。滴管在瓶内应正直，不能有明显歪斜。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1、规格：60ml。棕色。瓶全高85mm±5mm，瓶身径44mm±2mm。瓶口大径18mm±1mm。滴管全高90mm±5mm。滴管头高12mm±2mm。瓶身壁厚≥1mm，瓶底壁厚≥1.5mm。滴管壁厚≥0.8mm。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2、滴瓶上的滴管与滴瓶配套使用，瓶口内侧磨砂，磨砂面应均匀。胶头与滴管头部应紧密配合。滴管在瓶内应正直，不能有明显歪斜。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1、实验用仪器。30ml。瓷质。色泽：白色，均匀无杂质。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2、全长：60mm。身高：40mm。口外径：40mm。 内径：38mm。壁厚：1mm～1.5mm。底径：35mm。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3、盖外径：45mm。 盖全高：20mm。盖球高：10mm。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4、口圆整，不得扁瘪，底部平整，不得外凸摇晃。</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1、中学化学实验配套用品。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2、材料：以ICr18Ni9Ti优质不锈钢材料制造。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3、坩埚钳尺寸长度不得＜200mm，蛋形指圈为20×24G，夹持坩埚的匝圈不小于27mm。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4、表面应明亮泛光，无明显痕迹、斑点等缺陷。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5、坩埚钳闭合时，钳尖应基本吻合，其前后、上下错位均≤0.5mm。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6、钳内侧中部二圆弧不对称误差不应超过1.5mm。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7、蛋形指圈手感舒适，无粗糙等感觉。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1、中学化学实验配套用品。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2、材料：ICr18Ni9Ti，优质不锈钢材料制造。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3、外形尺寸：长度不得＜200mm，蛋形指圈30×45G。</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4、表面应明亮、无明显痕迹斑点等缺陷；夹身应匀称工整，无明显错位等现象；蛋形指圈内壁手感舒适,无粗糙感。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125mm（±1mm）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产品为木质或竹质材料制成。夹长不小于100mm，手柄长度不小于80mm。2. 夹口张、合松劲强度适宜，便于试管夹持和拿取。</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1、本品供化学实验夹持乳胶管用。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2、止水夹材料采用直径φ1.8mm～2mm65锰钢丝加工制成Ｔ型弹簧夹。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3、外形尺寸约为50mm×55mm×8mm，由夹子及挡板组成。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4、夹顶部绕张制约为φ10mm的两圈，短臂手持两端高度不＜12mm。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5、压缩弹簧，其张开距离不＞20mm，手松开止水夹恢复原位。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6、钢丝及挡板表面镀锌。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1、本品供化学实验夹持胶管用。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2、本品由支架管和带压板的螺杆等组成。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3、外形尺寸约为33mm×20mm×8mm。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4、支架、压板等均由普通碳钢制成，外表镀锌。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5、支架由上、下压板经两根钢柱联接。螺杆在上压板螺孔中转动自如。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6、中压板在螺杆的带动下，能运动到上、下孔点，用以夹持乳胶管橡胶管，控制气体或液体的流量、流速。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1、供中学化学实验和小学科学教学实验用。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2、本品用于化学实验时隔热。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3、石棉网外形尺寸为125mm×125mm±1mm。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4、铁丝网上涂防锈漆，四边加折不小于5mm。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5、石棉膏涂复面积不小于Φ80mm涂复厚度应在1±0.2mm。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6、石棉膏表面平整、牢固、均匀，无划痕，无粉尘脱落。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1、供中学化学实验和小学科学教学实验用。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2、铜勺：材料采用厚度为0.5mm的Ｈ62铜板。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3、手柄：材料为直径φ2mm，长度约为φ300mm镀锌铁丝或电焊条芯。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4、铜勺与手柄用氧焊连接。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5、铜勺成形外圆直径为20mm，窝孔深度不小于3.5mm。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1.产品为塑料或骨质材料制成。2.两端分别为大小匙勺，全长不小于150mm。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规格：φ5mm～φ6mm。壁厚〉0.5mm。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规格：φ7mm～φ8mm。壁厚〉0.8mm。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1、规格：φ3mm～φ4mm。长度300±30mm。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2、玻璃质细长棒状简易搅拌器，硬度大、熔点高，无色透明。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3、节瘤：最大直径小于2mm，允许存在8个以下；结石：最大直径小于1.5mm，允许存在5个以下。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1、规格：φ5mm～φ6mm。长度300±30mm。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2、玻璃质细长棒状简易搅拌器，硬度大、熔点高，无色透明。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3、节瘤：最大直径小于2mm，允许存在8个以下；结石：最大直径小于1.5mm，允许存在5个以下。</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1、化学实验品用。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2、型号规格：000、00、0、1～10号共13个型号。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3、本胶塞由天然橡胶、合成橡胶和多种辅料混炼硫化而成。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4、适用酸碱度pＨ2～10。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5、胶塞表面光洁、白色微黄、无明显缺陷,无毒。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6、胶塞硬度：邵尔硬度50～60度。</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1、化学实验品用。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2、规格：5mm×7mm、 6mm×9mm 、8mm×12mm、 10mm×14mm。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3、材料：橡胶，要求无砂眼，有弹性，厚薄均匀，无毒。</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1、化学实验品用。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2、产品弹性良好，无发硬、发粘等老化现象，无毒。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3、管径为3mm～4mm。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4、包装规格：30m／包装。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米</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1、供初中化学实验用。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2、本品由铁丝及猪鬃两部分组成。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3、猪鬃均匀，在铁丝上，要求牢固、整齐。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4、毛刷长约φ7mm×70mm～φ40mm×150mm。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5、毛刷柄长100mm～150mm。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1、供初中化学实验用。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2、本品由猪鬃及铁丝两部分组成，猪鬃被铁丝牢牢的夹紧在上面。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3、规格：毛刷小头φ12mm×18mm，大头φ34mm×50mm,小头φ31mm×50mm，大头φ60mm×90mm。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1、规格：80mm。热冲击不低于80℃。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2、外形平整、厚薄均匀，无明显偏斜。不应有薄皮气泡。 透明疙瘩、结石、条纹等缺陷应符合相关标准的规定。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1、规格：60mm。皿扣直径60mm±3mm，皿面半径60mm±3mm。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2、玻璃质地。外形平整、厚薄均匀，无明显偏斜。不应有薄皮气泡。 透明疙瘩、结石、条纹等缺陷应符合相关标准的规定。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1、规格：100mm。皿口直径100mm±4mm，皿面半径105mm±5mm。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2、玻璃质地。外形平整、厚薄均匀，无明显偏斜。不应有薄皮气泡。 透明疙瘩、结石、条纹等缺陷应符合相关标准的规定。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瓷，60mm；1. 仪器为钠钙玻璃制造。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外形尺寸：口内径60±5mm，全高35±5mm。壁厚8±2mm，研锤杆直径10±5mm，长100±15mm，研球直径15±5mm。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造形规整，表面光滑，无结石、气泡及凹凸不平等现象。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 应力消除：在偏光仪下观察呈紫红色。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瓷，90mm；1. 仪器为瓷质制造。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外形尺寸：口内径90±5mm，全高65±5mm。壁厚8±2mm，研锤杆直径12±2mm，长120±15mm，研球直径20±5mm。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 造形规整。表面光滑，无结石及凹凸不平等现象。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1、实验用加热仪器，规格60mm。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2、陶瓷制造。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3、蒸发皿外径：62mm～63mm。 蒸发皿高：≈28mm～30mm。 壁厚：≈2mm～5mm。 蒸发皿底径：≈40mm。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4、口圆整、光滑，不得有缺口，厚薄均匀，底部平整，不凸凹，放置平面不摇晃，器身不扁瘪。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1、中学实验室用加热仪器，规格100mm。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2、陶瓷制造。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3、蒸发皿外径：102mm～103.5mm。 蒸发皿高：≈50mm～57mm。 壁厚：≈2mm～5mm。 蒸发皿底径：≈50mm。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4、口圆整、光滑，不得有缺口，厚薄均匀，底部平整，不凸凹，放置平面不摇晃，器身不扁瘪。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1、实验用陶瓷器皿。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2、黑色6穴，无杂色。板长：85mm。板宽：55mm。板高：12mm。孔深5mm±0.5mm。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3、反应板四周不允许有刺手或不平现象，反应板应平整，放置平面不摇晃，釉面光洁，无气泡，无疵点，无裂纹，无破损。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1、由透明的聚苯乙烯或性能优于聚苯乙烯的材料制造。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2、井穴板具有试管、烧杯、储瓶等功能。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3、条型板为9孔，孔穴容积0.7ml。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4、能耐无机酸、碱、盐腐蚀，忌与甲苯、氯仿等有机溶剂接近。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5、承受温度≤80℃。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1、条型6孔板，孔穴容积5ml，附带双导气管。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2、由透明的聚苯乙烯或性能优于聚苯乙烯的材料制造。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3、井穴板具有试管、烧杯、储瓶等功能。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4、能耐无机酸、碱、盐腐蚀，忌与甲苯、氯仿等有机溶剂接近。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5、承受温度≤80℃。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1、组套数量≥20支。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2、功能：具直形、弯形、直单球、弯单球吸管及滴定管的功能。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3、圆筒形吸泡容积4ml；径管φ1mm×120（mm）。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4、用聚乙烯材料制造。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5、耐无机酸、碱、盐腐蚀。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6、承受温度≤80℃。</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十六</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（1F）化学文化布置及配套改造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根据学校要求定制化学高清写真，结构有新意，表达性强。整体设计符合中学生的审美观念。包含基础改造及窗帘配套安装。整体设计符合中学生的审美观念。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室</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十七</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（3F）生物数字化分组实验室（48人）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教师演示台，左边设有储物柜，中间段设有抽屉位（教师电源主控系统），电脑键盘位，右边设有多媒体设备位置预留，三节模块拼接组成。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⑴.桌身整体材料1.0mm(±0.2mm)冷轧钢板，整体规格2400×700×850mm(±5mm)，所有金属表面经环氧树脂粉末喷涂高温固化处理和耐酸碱、耐腐蚀。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⑵.滑道导轨：抽屉全部采用优质三节承重式滚珠滑道开合十万次不变形。铰链：采用优质铰链，开合十万次不变形。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⑶.脚垫：采用柜体内置可调ABS脚垫，保证桌面平整，防水防潮，延长设备使用寿命。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3、台面要求：采用≥15mm厚新型整张无拼接陶瓷台面。台面表面为实验室专业耐磨、高硬度、安全美观釉面。釉面与胚体经高温一体烧结而成，不脱落、不脱层。为满足实验室对台面苛刻的要求。</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教师电源主控台</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1.结构参数：教师总控电源面板规格：420×220mm，基材是2mm绝缘电工板，面纸采用耐磨、耐腐蚀、耐高温的PC亮光薄膜面板，界面文字清晰美观。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2.技术要求：总控台搭载电源漏电总开关；总电源输入电压电流表；总电源工作指示灯，保险丝，五孔多功能220V安全插座两组；插口带保护门；额定电流10A，网络接口一个；USB插口两个。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3.技术要求：学生输出端交流220V电源分组输出四组，每组都配有断路器和工作指示灯。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1、规格:500×500×800mm(±5mm)。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2、靠背及下座采用高密度网布格，阻燃、舒适、回弹性好。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3、面料为优质网布格.依照人体工程学设计，线条流畅，美观大方。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4、骨架钢管电镀，气动升降。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移动智能水槽（滴水架）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水槽滴水架一体化无缝链接成型、柜体、下柜三段组合式结构；整体规格500×600×1070mm(±10mm)，水槽面部下沉式构造，水槽台面设有预留安装紧急洗眼器、洗手液瓶、三联水嘴预留孔，水槽内部设有一个防溢水口，底部有三级滤网，柜体左右两侧设有把手位，底座带有可调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⑴.水槽和滴水架整体采用环保型改性PP材料，注塑模具一次成型无缝链接，水槽内规格420×330×235mm(±0.5mm)，滴水架规格480×120×300mm(±0.5mm)；壁厚为4mm(±0.5mm)。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⑵.滴水架正面设有八条试管位，滴水架顶部面上设有一个规格180×55mm(±5mm)，给、排水、电源快速接头带防尘盖收纳盒。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⑶.水槽内配有阶梯型溢水板，规格415×200mm(±5mm)；厚度0.6mm，使废水无法外沿水槽外面。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⑷.柜体材料环保型ABS工程塑料注塑成型，壁厚为4mm(±0.5mm)，柜体后面和下柜后面设有两扇检修门。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⑸底座柜ABS工程塑料磨具一次成型，底部装有可调脚。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三联“L”型化验水嘴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1、结构：插壁式接水，L型三联(一高二低）</w:t>
            </w:r>
            <w:r>
              <w:rPr>
                <w:rFonts w:hint="eastAsia" w:cs="宋体" w:asciiTheme="minorEastAsia" w:hAnsiTheme="minorEastAsia" w:eastAsiaTheme="minorEastAsia"/>
                <w:color w:val="auto"/>
                <w:szCs w:val="21"/>
                <w:highlight w:val="none"/>
              </w:rPr>
              <w:t xml:space="preserve">带有三个陶瓷阀芯，ABS手柄，鹅颈管可360°随意旋转。                                                                                                                                                                                          2、材质：主体黄铜材质，表面经高亮度环氧树脂喷涂，耐腐蚀，耐热，用寿命开关50万次。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台式单口紧急洗眼器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1、台面安装方式，平时放置于台面，紧急使用时可随意抽起，使用方便。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2、洗眼喷头：具有过滤泡棉及防尘功能，上面防尘盖平常可防尘，使用时可随时被水冲开，并降低突然打开时短暂的高水压，避免冲伤眼睛。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3、控水阀采用黄铜制作，经高亮度环氧树脂涂层处理，外观美观大方，阀门可自动关闭，密封可靠。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学生实验桌（陶瓷面板）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1、桌子整体外形规格：≥1200×600×780/900mm。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2、一体化台面：采用≥20mm厚无甲醛新型环保陶瓷台面，台面表面为实验室专业耐腐蚀、耐刻刮、耐污染釉面。坯体一体实芯黑色坯体，釉面和坯体经高温一体烧制而成。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3、“陶瓷板”需满足如下参数要求：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（1）外观要求：外观为五面坯体，表面釉面为烧成颜色；坯体敲碎后，无空洞、无直径2mm以上气泡、无杂色，为一体实芯坯体；釉面与坯体之间无脱层，釉面与坯体呈一体结构，釉面为烧成颜色，非坯体颜色。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（2）台面表面耐污染性能:检测内容不低于 60种试剂</w:t>
            </w:r>
            <w:r>
              <w:rPr>
                <w:rFonts w:hint="eastAsia" w:cs="宋体" w:asciiTheme="minorEastAsia" w:hAnsiTheme="minorEastAsia" w:eastAsiaTheme="minorEastAsia"/>
                <w:color w:val="auto"/>
                <w:szCs w:val="21"/>
                <w:highlight w:val="none"/>
              </w:rPr>
              <w:t xml:space="preserve">，至少含氢氧化钙饱和溶液、二氧六环99%、甲酚红、乙醇99%、王水、红药水、硝酸银、立顿红茶(9g/L)、氢氧化钾、硝酸65%、硫酸98%、二甲苯、高氯酸72%、二甲基甲酰胺99%、乙醚99%、糠醛99%、甲苯99%、过氧化氢、仁和碘酒、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（3）抗冲击性能：为保证台面使用的安全性，台面抗冲击性（恢复系数）不低于0.854。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（4）台面表面耐冷热循环性能：为避免热胀冷缩对台面造成的伤害，检测结果需达到台面表面无裂纹无鼓包现象。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（5）颜色稳定性：为保证台面的美观度，耐光色牢度不低于4级。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4、折叠学生桌整体钢铝结构；桌腿设计为上下两段折叠结构；学生位镂空式，易碰撞部位均采用倒圆角；处理金属表面经环氧树脂粉末喷涂高温固化处理。技术参数要求满足如下：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（1）台面三围栏：前围栏≥1155×15×77mm铝合金型材；左右围栏规格≥405×25×77mm铸铝成型，围栏高出桌面≥50mm；防止仪器设备掉落的风险。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（2）桌面前围栏上端功能围栏；功能围栏横杆：≥1176×14×24mm铝合金型材；围栏横杆底座铸铝成型；高出桌面≥120mm。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（3）台面支框架≥20×30mm距形方钢管焊接成型。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（4）桌腿上段“T”字型铸铝成型≥400×48×250mm，壁厚度2.5mm(±0.2mm)。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（5）铸铝功能合页镶入立柱上端，规格≥110×40×49mm，将“T”字型铝铸件与立柱相扣连，折叠角度最大可达90°。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（6）铝合金型材立柱，规格≥110×40×450mm。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（7）支撑梁：≥20×40mm 椭圆无缝钢管，两端与5mm厚钢制连接片焊接，并用高强度内六角螺丝连接链接到左右两侧立柱脚上，便于组装及拆卸。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（8）桌腿横梁加固件：规格≥100×35×200mm(±2mm)，厚度为：3mm(±0.2mm)。铸铝成型，悬臂式结构，用螺丝安装在左右横梁与桌腿上，拆装方便（非焊接式安装）确保实验桌牢固度。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（9）下脚采用铸铝成型规格：≥565×60×53mm，下脚底部带有脚垫；确保桌子整体水平。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5、书包斗：改性环保PP注塑成型。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6、电源盒：ABS 注塑成型，前口翻盖式弧面设计。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张</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升降学生实验凳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四支凳脚椭圆形无缝钢管抓地，凳面PP改性塑料一次性注塑成型，冷轧钢板凳面圆形托盘，螺杆式旋转可调升降，整体规格：ф300×（450）≥500mm±0.2mm。所有的金属表面经环氧树脂粉末喷涂高温固化处理耐酸碱、耐腐蚀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⑴.凳面环保型PP改性塑料一次性注塑成型；规格ф305mm(±5mm)；厚5.8mm(±0.5mm)；凳面表层有颗粒凸起花纹；防滑、按摩、抗疲。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⑵.凳面高低调节升降螺杆旋转，调节范围450mm-500mm自由调节。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⑶.凳脚架四支凳脚椭圆形无缝钢管；规格34×16mm；厚度1.4mm(±0.2mm)，凳脚架焊接全圆满焊接。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⑷.凳面托盘冷轧钢板；规格ф220mm(±0.2mm)；厚度2.2mm(±0.2mm)，钢板托盘有凹凸冲压成型加强筋，使凳子更加稳固。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⑸.脚垫PP加耐磨纤维质塑料，实心倒勾式一体成型，防止防滑和保护地板划痕。</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条</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1、结构参数：注塑模具化成型，四角直角造型，功能柱上端带有电源插座和网络接口，免螺丝安装检修口活动板，底脚两侧带与地面带安装孔，内部隐藏实验线管及通风管道，左、右合并拼接而成。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2、技术参数：整体规格378×180×740mm(±5mm)，壁厚2.5mm，采用PP材料，免螺丝安装检修口活动板规格：223×132mm.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生物桌面光源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台灯采用内置2835型灯珠LED灯条，台灯整体功率≤7w，台灯外壳采用ABS工程塑料注塑成型，光线柔和无频闪；照明角度可调节，调节的支撑脚内置阻不锈钢阻尼转轴，调节次数5000次内阻尼力度没有明显衰减。</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盏</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学生安全实验电源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采用防尘盒安装在实验台面下两个书包斗中间，翻转式凹型；由三组工程阻燃ABS塑料模具一次成型，隐藏式卡扣，开启操作界面,学生电源操作界面基材工程阻燃ABS塑料；面纸加贴PC膜加贴；界面文字清晰美观。 </w:t>
            </w:r>
            <w:r>
              <w:rPr>
                <w:rFonts w:hint="eastAsia" w:cs="宋体" w:asciiTheme="minorEastAsia" w:hAnsiTheme="minorEastAsia" w:eastAsiaTheme="minorEastAsia"/>
                <w:color w:val="auto"/>
                <w:szCs w:val="21"/>
                <w:highlight w:val="none"/>
              </w:rPr>
              <w:t xml:space="preserve">                                                                                                                                                                                                                                       2、技术要求：由教师电源统一供给， 接收到教师送来</w:t>
            </w:r>
            <w:r>
              <w:rPr>
                <w:rFonts w:hint="eastAsia" w:cs="宋体" w:asciiTheme="minorEastAsia" w:hAnsiTheme="minorEastAsia" w:eastAsiaTheme="minorEastAsia"/>
                <w:color w:val="auto"/>
                <w:szCs w:val="21"/>
                <w:highlight w:val="none"/>
              </w:rPr>
              <w:t xml:space="preserve">安全电源时有工作指示。                                                                                                                                                                  3、技术指标：面板上搭载带工作指示灯总电源开关；2A高压电源保险管；网络接口；交流电压表、电流表，新国标五孔多功能220V安全插座二组；插口带保护门；额定电流10A。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移动智能水槽（滴水架）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1.结构参数：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水槽滴水架一体化无缝连接成型、柜体、下柜三段组合式结构；整体规格500×600×1070mm(±10mm），水槽面部下沉式构造，水槽台面设有预留安装紧急洗眼器、洗手液瓶、三联水嘴预留孔，水槽内部设有一个防溢水口，底部有三级滤网，柜体左右两侧设有把手位，底座带有可调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2.技术要求：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⑴.水槽和滴水架整体采用环保型改性PP材料，注塑模具一次成型无缝连接，水槽内规格420×330×235mm(±0.5mm），滴水架规格480×120×300mm(±0.5mm）；壁厚为4mm(±0.5mm）。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⑵.滴水架正面设有八条试管位，滴水架顶部面上设有一个规格180×55mm(±5mm），给、排水、电源快速接头带防尘盖收纳盒。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⑶.水槽内配有阶梯型溢水板，规格415×200mm(±5mm）；厚度0.6mm，使废水无法外溢。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⑷.柜体材料环保型ABS工程塑料注塑成型，壁厚为4mm(±0.5mm），柜体后面和下柜后面设有两扇检修门。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⑸底座柜ABS工程塑料磨具一次成型，底部装有可调脚。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三联“L”型化验水嘴</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1、结构：插壁式接水，L型三联(一高二低）带</w:t>
            </w:r>
            <w:r>
              <w:rPr>
                <w:rFonts w:hint="eastAsia" w:cs="宋体" w:asciiTheme="minorEastAsia" w:hAnsiTheme="minorEastAsia" w:eastAsiaTheme="minorEastAsia"/>
                <w:color w:val="auto"/>
                <w:szCs w:val="21"/>
                <w:highlight w:val="none"/>
              </w:rPr>
              <w:t xml:space="preserve">有三个陶瓷阀芯，ABS手柄，鹅颈管可360°随意旋转。                                                                                                                                                                                           2、材质：主体黄铜材质，表面经高亮度环氧树脂喷涂，耐腐蚀，耐热，用寿命开关50万次。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付</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全屋水电、实验桌安装调试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包含全屋水电、桌椅安装，系统控制调试，对整套系统进行全面控制功能调试等。</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十八</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（3F）生物数字化实验室探究器材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教师端器材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1.支持Windows、Android、iOS/iPadOS、HarmonyOS、macOS、Linux、统信UOS、麒麟等操作系统。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6.通过smarthcz坐标图像曲线、表格、数值、仪表盘等方式，实时、直观、精确显示实验数据。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1.pH探头由内部参比电极和玻璃电极构成，用于测量溶液的酸碱值。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溶解氧气中氧一体传感器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b/>
                <w:bCs/>
                <w:color w:val="auto"/>
                <w:szCs w:val="21"/>
                <w:highlight w:val="none"/>
              </w:rPr>
            </w:pPr>
            <w:r>
              <w:rPr>
                <w:rFonts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一体式传感器，Lightning接口，附件为校准液、电极帽。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1.用于测量气体、溶液中的氧含量。</w:t>
            </w:r>
            <w:r/>
          </w:p>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3.可支持气中氧校准、溶解氧标定功能。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溶氧：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▲1.量程：0~20mg/L</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2.精度：±0.5mg/L</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3.分辨率：0.01mg/L</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气氧：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▲1.量程：0~100%</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2.精度：±2%F.S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4.红外气体吸收检测型传感器，具有很好的选择性，高灵敏度，无氧气依赖性，寿命长，低功耗，无需预热等特点。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5.支持传感器复位，用于校准传感器。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2.精度：±100ppm(0~1000ppm)；±(100ppm＋5%读数值)(1000~10000ppm)；±10%(10000~50000ppm)；±15%(50000~100000ppm)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1.用于测量空气的相对湿度。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2.精度：±4%（10%~90%RH）</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传感器正面为电源指示灯，前端内置有光强探头，后端为Lightning接口。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1.用于测量被测环境的光强值。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1.量程：0~55000Lux</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3.分辨率：15Lux</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气体酒精传感器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1.用于测量气体中酒精的含量。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1.量程：0~6000ppm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2.精度：±3%</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3.分辨率：1.5ppm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由传感器主体和前端探头连接构成。主体正面有电源按钮、电源和蓝牙指示灯、传感器名称；背面有蓝牙编号及电池仓，机身外壳与电池仓用密封圈密封。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2.传感器内置蓝牙无线模块，使用蓝牙5.0技术，低功耗运行和待机。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4.可脱机进行数据采集。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5.传感器具有唯一蓝牙编号，便于数据终端选择性连接。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6.使用纽扣电池，电池可更换，一枚电池可正常课堂使用1年以上。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7.可实现微小的温度变化快速采样。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9.连接方式：蓝牙无线。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10.节能方式：传感器打开电源，无连接或连接无活动，几分钟后自动关闭电源。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11.支持固件空中升级。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12.可切换单位：℃、℉、K。                                                                                              13.支持平台：Windows、Android、iOS/iPadOS、MacOS、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1.量程：-40℃~125℃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2.分辨率：0.01℃</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3.精度：±0.5℃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4.采样速率：10次/秒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5.连续使用时间：≥120小时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6.防水等级：IP67</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7.通讯距离：≥30m（空旷无遮挡）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8.电池型号：CR2032</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传感器主体正面有电源按钮、电源和蓝牙指示灯、传感器名称、蓝牙编号、0.96英寸OLED显示屏；主体前部为开合舱体，可放入比色皿进行实验。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1.用于测量溶液对于不同颜色的入射光的吸光度、透光率，以及溶液的浊度。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2.传感器内置蓝牙无线模块，使用蓝牙5.0技术，低功耗运行和待机。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4.可脱机进行数据采集。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5.色度/浊度切换简单，通过电源按钮或软件设置切换，提供多种波长选择。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6.传感器具有唯一蓝牙编号，便于数据终端选择性连接。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8.连接方式：蓝牙无线或有线。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9.节能方式：传感器打开电源，但无连接或连接无活动，几分钟后自动关闭电源。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10.支持固件空中升级。                                                                                               11.支持平台：Windows、Android、iOS/iPadOS、MacOS、 Linux、Harmony OS、统信UOS、麒麟等。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紫光（430nm）：透光率0~100%、吸光度0~3A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浊度：0~400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紫光（430nm）：透光率±2%F.S、吸光度±0.03A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浊度：±5%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红光（645nm）：透光率0.1%、吸光度0.01A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橙光（611nm）：透光率0.1%、吸光度0.01A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黄光（570nm）：透光率0.1%、吸光度0.01A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绿光（520nm）：透光率0.1%、吸光度0.01A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蓝光（470nm）：透光率0.1%、吸光度0.01A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紫光（430nm）：透光率0.1%、吸光度0.01A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浊度：0.1 NTU</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4.采样速率:10次/秒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5.连续使用时间:≥50 小时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6.通讯距离:≥30m（空旷无遮挡）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7.可充电锂电池，电池型号：3.7V 1000mAh</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充电坞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一、外形及材质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外形尺寸：≥342mm×198mm×228mm（含防尘罩）；基座材质：ABS；防尘罩材质：透明ABS</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二、技术参数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输入电压：85 ~ 264VAC </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输入电流：1.4A/115VAC  0.85A/230VAC</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频率：50/60Hz</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输出（单通道）：5V /2A DC</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由充电坞、电源线、防尘罩组成。充电坞含有≥5个独立的充电位</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四、功能和应用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★1.专为智能数字实验盘设计的充电装置，可同时对≥5台实验盘进行充电。</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★2.每个充电位相互独立，采用触点式充电，实验盘即插即充，操作方便，充满自动断电。</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3.每个充电位可输出5V/2A充电电压/电流，充满1个实验盘只需3小时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实验器罐体、护线圈*5、硅胶堵头*5、塑料吸管*20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1.用于生化实验中光合作用、酵母菌的呼吸作用等实验。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3.实验桶透明设计，便于观察实验现象。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4.配合二氧化碳传感器、氧气传感器可做光合作用吸收二氧化碳产生氧气的实验。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5.配合二氧化碳传感器、氧气传感器、气体酒精传感器可做酵母菌的细胞呼吸实验。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6.配合二氧化碳传感器、氧气传感器、相对湿度传感器可做人体吸入与呼出气体成分的探究实验。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光合作用实验箱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透明亚克力实验箱、密封盖、橡胶塞14个（含侧面全封塞*2（φ30mm）、顶面全封塞*3（φ33mm）、单边槽无孔塞*2（φ33mm，开槽φ4mm）、双边槽无孔塞*3（开槽φ4mm）、温度传感器探头孔塞*1（中孔φ5mm）、二氧化碳传感器探头孔塞*1（中孔φ15mm）、湿度传感器探头孔塞*1（中孔φ10mm）、溶解氧-气中氧一体传感器探头孔塞*1（中孔φ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1.用于水陆生植物的光合作用、种子萌发、呼吸作用、酶的特性、蒸腾作用等实验。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2.实验箱、密封盖、橡胶塞可轻松搭建密闭实验环境，透明箱体便于观察箱体内部的实验现象。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3.可配合温度传感器、二氧化碳传感器、溶解氧-气中氧一体传感器、相对湿度传感器等多个传感器使用，也可单独测量某一个量，并在Windows、安卓、iOS系统终端上实时呈现数据。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4.支持带线的传感器（如电导率、pH传感器、溶氧、溶解二氧化碳、盐度等传感器的电缆线）探头主体完全进入实验器，支持教师DIY设计实验。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植物的光合作用、呼吸作用、种子萌发、蒸腾作用、酶的特性、蜡烛的燃烧、模拟生态环境等实验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鼠妇分布研究实验器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环境室、过渡室、盖子*3（透明盖子、茶色盖子、带加热器的茶色盖子）、硅胶塞、海绵、电源适配器、O型圈</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1.用于探究影响鼠妇分布的非生物因素实验，探究温度、光照、湿度等非生物因素对鼠妇分布的影响。</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2.环境室可以创造多种实验环境，如不同光照强度、不同温度、不同湿度等，适配多种传感器，模拟鼠妇、面包虫等小型动物生存环境，探究光照强度、温度、土壤湿度等多种非生物条件对其分布的影响。</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▲3.过渡室连通两个环境室，利用转动门实现放置阶段鼠妇与实验环境分离，减少人为因素对实验的干扰，更科学严谨。无需自制教具，一体化实验器，鼠妇起始位置科学可控。</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4.透明盖板可视化设计，方便计数。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▲5.使用碳膜加热电阻加热，温度可调，环境数据实时监测，低功率电子元器件，安全性高，对动物无伤害。</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6.通过移动终端扫描仪器上的二维码可浏览该仪器配套的实验指导和使用说明。</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探究温度对鼠妇分布的影响、探究湿度对鼠妇分布的影响、探究光强对鼠妇分布的影响等实验</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模拟肺呼吸实验器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模拟肺、橡胶膜、三通阀、橡胶管、透明罩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1.用于生物“人体的呼吸”，通过模型模拟肺呼吸，探究胸廓的变化与呼吸的关系。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2.通过模型模拟肺呼吸，配合绝对压强传感器可探究呼吸时肺部压强的变化，在Windows、安卓、iOS系统终端上实时呈现数据。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3.实验搭建简单方便，透明外壳设计可直接观察到肺部呼吸时肺叶的张吸效果。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4.配套专用实验软件，预设模板，以曲线形式自动记录数据变化情况，实验结果更直观明显。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探究呼吸时肺部压强的变化等实验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单孔塞（φ37*φ30-31，孔φ5mm）、单孔塞（φ37*φ30-31，带直通接头）、单孔塞（φ37*φ30-31，孔φ15.5mm）、三孔塞（φ37*φ30-31，两孔φ8mm，一孔φ12.5mm）、三孔塞（φ37*φ30-31，两孔φ8mm，一孔φ15.5mm）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1.单孔塞（φ37*φ30-31，孔φ5mm）搭配锥形瓶，孔径与传感器适配性高，可接入温度传感器，密封性好，可用于需要在密封环境中测量温度相关生化类实验，并在Windows、安卓、iOS系统终端上实时呈现数据。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3.单孔塞（φ37*φ30-31，孔φ15.5mm）搭配锥形瓶，孔径与传感器适配性高，可接入二氧化碳传感器，密封性好，可用于需要在密封环境中测量二氧化碳相关生化类实验，并在Windows、Android、iOS/iPadOS、MacOS、 Linux、Harmony OS、统信UOS、麒麟等系统终端上实时呈现数据。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6.适用于多种实验，减轻教师准备或自制器材的负担，解决适配性难题，轻松满足教师的实验教学需要。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铁的吸氧腐蚀、种子的萌发等实验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食品科学实验箱(Box 1+Box 2)</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一、结构参数</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1、外形尺寸：437mm*327mm*170mm（两箱叠加高度H=330mm）；材质：ABS；手提翻盖式 ；最大承重：30-35公斤；内部含有内衬，保证每个器材都有对应的存放位置，便于快速、高效的整理和收纳；</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2、实验箱的箱体可多个垒叠放置，最多可垒5箱；</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3、纽扣式锁合：转动实验箱前侧的锁止机构既可以锁定箱子，也可以实现箱子与箱子之前的锁合，便于携带和搬运。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二、主要配置</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由石棉网、不锈钢药匙（L：150mm）、不锈钢钝头镊子、温度计（L：190mm）、试管夹、放大镜、铁圈（d：110mm）、黑色油性记号笔（3.8mm）、坩埚钳、小刀、研钵和研杵（70mL）、洗瓶（250mL, 塑料）、低型塑料烧杯（100mL）、</w:t>
            </w:r>
            <w:r>
              <w:rPr>
                <w:rFonts w:cs="宋体" w:asciiTheme="minorEastAsia" w:hAnsiTheme="minorEastAsia" w:eastAsiaTheme="minorEastAsia"/>
                <w:color w:val="auto"/>
                <w:szCs w:val="21"/>
                <w:highlight w:val="none"/>
              </w:rPr>
              <w:t xml:space="preserve">低型塑料烧杯（250mL）、低型玻璃烧杯（400mL）、低型玻璃烧杯（250mL）、直口玻璃锥形瓶（100mL）、木质试管架（12孔）、玻璃棒（L：200mm，d：6mm）、试管（20mm×180mm）、试管（18mm×180mm）、橡胶塞（15/21/26）、表面皿（d：100mm）、蒸发皿（75mL）、胶头滴管（L：105mm）、试管刷、塑料量筒（10mL）、塑料量筒（100mL）、支撑杆（L：370mm）、四爪夹、斜口塑料漏斗（φ：75mm）、转接头、塑料水槽、护目镜、橡胶手套（S）、铁架台底座组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三、功能和应用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可模拟演示生物、化学实验，蛋白质的结构和组成实验、蛋清的变性实验、生产奶酪的程序实验、脂肪的溶解度实验、从坚果中提取油脂实验、生产肥皂实验、脂肪的成分实验、含脂产品的水分含量实验、人造黄油的生产实验、用染料检测脂肪实验、去除油渍实验、鉴别新油和复炸油实验、检测酒精饮料中甲醇实验、检测茶叶中的单宁实验、检测咖啡和茶中的咖啡因实验、检测胡椒中的活性成分实验、碳水化合物成分实验、碳水化合物的溶</w:t>
            </w:r>
            <w:r>
              <w:rPr>
                <w:rFonts w:cs="宋体" w:asciiTheme="minorEastAsia" w:hAnsiTheme="minorEastAsia" w:eastAsiaTheme="minorEastAsia"/>
                <w:color w:val="auto"/>
                <w:szCs w:val="21"/>
                <w:highlight w:val="none"/>
              </w:rPr>
              <w:t xml:space="preserve">解度实验、用斐林试剂检测葡萄糖实验、葡萄糖的还原性实验、测定果糖实验实验、检测牛奶中的乳糖实验、淀粉的检测实验、制备马铃薯淀粉和糊精实验、测定淀粉的组成实验、制作面筋实验、检测果汁中的果胶物质实验、消化过程中淀粉的裂解实验、检测维生素C实验、水的净化实验、检测饮料中的二氧化碳实验、检测甘草中的氯化铵实验、检测肉制品中的磷酸盐实验、检测肉制品中的亚硝酸盐实验、如何抑制水果变黄（酶促褐变）实验、测定发酵粉中碳酸氢钠的含量实验、测试不同物质的乳化效果实验、测试不同蛋白酶的作用实验、检测各种食物中的过氧化氢酶实验。</w:t>
            </w:r>
            <w:r>
              <w:rPr>
                <w:rFonts w:cs="宋体" w:asciiTheme="minorEastAsia" w:hAnsiTheme="minorEastAsia" w:eastAsiaTheme="minorEastAsia"/>
                <w:b/>
                <w:bCs/>
                <w:color w:val="auto"/>
                <w:szCs w:val="21"/>
                <w:highlight w:val="none"/>
              </w:rPr>
              <w:t xml:space="preserve">（提供具有法定资质的第三方检测机构出具的检测报告扫描件）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学生端器材</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图形数据终端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1、12.1英寸或以上（分辨率：2560*1600）高清IPS显示屏，支持最高10点触控；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2、多核处理器，6GB内存，存储容量128GB；</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3、智能平板操作系统；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4、内置麦克风、前后置摄像头，支持WIFI无线网络；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5、type-C数据接口；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6、8000mAh以上聚合物锂离子电池，连续使用≥7小时，待机和使用时间更持久；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7、支持重力感应，横竖自动切换；全新的FLASH滑动UI设计。具备“Quick Easyh”操作界面，让您操作更加轻松自如；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8、传感器自动识别；支持传感器校准，传感器标定功能；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图形显示、存储和超强的数据分析处理功能；支持数据曲线、仪表、数值显示，可对实验图表的放大，缩小，移动及XY轴自动放缩功能；支持传感器实验数据的统计功能；通过计算列、积分、拟合等功能，可以进行专业的实验数据分析。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10、可按照实际的教学需要建立规范化的实验模板，可内置几百个物理，化学，生物学科的实验。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体化结构设计，不少于7个传感器接口，支持热插拔；支持近60种传感器连接，遍及力学、热学、光学、电学、化学、生物等多个领域；内置三轴加速度、GPS、气压计、相对高度计等传感器；内置传感器与外接传感器模块可并行采集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2、内置≥3.5英寸电容屏，支持手势操作，触控灵敏、交互便捷，为数据显示、实验采集提供良好的图形界面；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3、支持系统平台：Windows、Android、iOS/iPadOS、MacOS、 Linux、Harmony OS、统信UOS、麒麟等；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独立使用时，支持实验采集功能，提供图像、表格两种模式。图像模式支持对X轴、Y轴自定义，且Y轴支持传感器多选；支持双Y轴设置，优化选择多个传感器且数值相差较大时的图像显示，适应多样需求，支持曲线镜像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5、支持对采集间隔、采集时间进行设置，支持手动采集、定时采集等不同模式；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6、实验采集支持保存与读取，方便随时对实验进行复盘分析；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7、支持不少于7种外接传感器和不少于4种内置传感器同时工作，并在内置屏上同步数据显示；支持数字、图线、指针盘等显示模式；支持从传感器实时显示界面直接跳转进入快速实验；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8、支持脱离终端设备，利用内置实验操作平台对部分传感器进行校准或标定等；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9、支持通用接口模块，可外扩其他类型的传感器，通用接口采用闪电接口,易插易用；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10、充电方式：支持USB充电，支持触点充电，搭配专用充电坞，可实现同时对5个智能数字实验盘进行充电；</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11、正面设有电源指示灯，背面设有支脚架、固定螺纹孔、复位孔；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12、连接方式：USB 有线连接；蓝牙无线连接；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13、具备不少于16M存储容量；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14、内置可充式锂电池；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15、固件升级：固件可通过USB接口进行升级；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16、依托人工智能技术可自主设计开发实验应用场景，以动态数据驱动动画效果，构建数据与影像画面实时联动、动态同步的智能化实验创新体系。</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1.支持Windows、Android操作系统。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2.支持有线连接，无线蓝牙连接。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3.支持传感器自动识别。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4.可连接多个采集器，并支持多个采集器同时工作。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5.可支持不少于20个传感器同时采集。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6.通过smartdtx坐标图像曲线、表格、数值、仪表盘等方式，实时、直观、精确显示实验数据。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9.具有完善的数据处理功能，包含多种数据拟合：直线拟合、抛物线拟合、倒数拟合、积分、重叠显示等。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10.、可根据需求将实验及实验结果以不同方式保存，可后续查看。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11、支持摄像功能，可实时拍摄、显示实验场景并存储。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12、支持离线实验数据导出。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13、支持采集过程回放。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14、支持局域网内接收、发送实验文件。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15.包含初中物理、化学、生物多个专用实验模块，全定制化的实验界面及实验操作，贴合教学过程。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16、软件可注册和登录，配合使用“在线实验设计平台”，体验更为强大的实验自主设计功能；配合使用“实验资源管理云平台”，可随时查看实验相关的指导手册、器材信息、实验视频的等资料。</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传感器正面为电源指示灯，前端为探头插孔，后端为Lightning接口，附件为温度探头。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1.用于测量物体表面、气体、酸碱等液体的温度。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3.温度探头为3.5mm耳机插头，耳机插孔式连接，无干扰。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1.量程：-40℃~135℃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2.精度：±0.6℃</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溶解氧气中氧一体传感器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一体式传感器，Lightning接口，附件为校准液、电极帽。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1.用于测量气体、溶液中的氧含量。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3.可支持气中氧校准、溶解氧标定功能。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溶氧：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1.量程：0~20mg/L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2.精度：±0.5mg/L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3.分辨率：0.01mg/L</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气氧：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2.精度：±2%F.S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1.用于测量气体中二氧化碳的含量。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4.红外气体吸收检测型传感器，具有很好的选择性，高灵敏度，无氧气依赖性，寿命长，低功耗，无需预热等特点。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5.支持传感器复位，用于校准传感器。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2.精度：±100ppm(0~1000ppm)；±(100ppm＋5%读数值)(1000~10000ppm)；±10%(10000~50000ppm)；±15%(50000~100000ppm)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3.分辨率：1ppm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一体式传感器，Lightning接口。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1.用于测量空气的相对湿度。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4.无需校准，即连即用。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1.量程：0~100%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2.精度：±4%（10%~90%RH）</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传感器正面为电源指示灯，前端为鲁尔接头母头，后端为Lightning接口，附件为软管、鲁尔公头、针筒。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1.用于测量大气环境下或密闭空间内的气体的压强。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2.传感器采用模块化设计，可任意组合。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4.传感器上具有通电指示灯，可以快速判断是否正确连接。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5.搭配采集器可以在Windows、Android、iOS/iPadOS、MacOS、 Linux、Harmony OS、统信UOS、麒麟等系统上进行数据采集。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6.支持传感器校准。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三、规格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1.量程：0~400kPa</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2.精度：±2%</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3.分辨率：0.1kPa</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通用接口模块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一、结构及外观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通用接口正面为电源指示灯，前端、后端为Lightning接口，用于跟传感器的连接。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1.用于传感器与采集器的连接。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2.外壳采用ABS工程塑料，具有耐火、耐高温、阻燃等特性。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3.具有通电指示灯，可以快速判断是否正确连接。</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附件及包装箱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含与传感器相配套USB线、连接线、硬件说明书、实验指导手册等和便携包、包装箱。</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实验器罐体、护线圈*5、硅胶堵头*5、塑料吸管*20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1.用于生化实验中光合作用、酵母菌的呼吸作用等实验。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3.实验桶透明设计，便于观察实验现象。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4.配合二氧化碳传感器、氧气传感器可做光合作用吸收二氧化碳产生氧气的实验。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5.配合二氧化碳传感器、氧气传感器、气体酒精传感器可做酵母菌的细胞呼吸实验。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6.配合二氧化碳传感器、氧气传感器、相对湿度传感器可做人体吸入与呼出气体成分的探究实验。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7.通过移动终端扫描仪器上的二维码可浏览该仪器配套的使用说明。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8.配套专用实验软件，预设模板，以表格和曲线等形式自动记录数据变化情况，实验结果更直观明显。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模拟肺呼吸实验器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模拟肺、橡胶膜、三通阀、橡胶管、透明罩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二、功能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1.用于生物“人体的呼吸”，通过模型模拟肺呼吸，探究胸廓的变化与呼吸的关系。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2.通过模型模拟肺呼吸，配合绝对压强传感器可探究呼吸时肺部压强的变化，在Windows、安卓、iOS系统终端上实时呈现数据。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3.实验搭建简单方便，透明外壳设计可直接观察到肺部呼吸时肺叶的张吸效果。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4.配套专用实验软件，预设模板，以曲线形式自动记录数据变化情况，实验结果更直观明显。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三、实验</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探究呼吸时肺部压强的变化等实验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十九</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（3F）生物实验室通用仪器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数码液晶显微镜（学生机）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主要技术指标：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1.为确保使用者人身安全，仪器应为低压供电，标配19V低压供电电源适配器,确保使用者人身安全；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2.一体化设计，仪器拆包装箱接上电源即可使用，无需进行物镜及其他部件的组装；自带液晶屏，液晶屏与机身一体式设计，拆开包装，液晶屏与机身已完好链接，非分体式设计；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3.安全提手,为确保仪器挪动过程中的安全性，机身上方设置明确提手。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4.为确保仪器使用的稳定性及安全性，所有数据接口以及电源接口设置在仪器底座背面，数据接口为USB接口、HDMI高清接口；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5.仪器运行内存≥2G，存储内存≥16G；所拍摄的显微照片及视频可存储于仪器中；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6.数码功能显微镜拍照像素：≥800万像素；录像分辨率：≥1080P/30FPS；</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7.画面无拖尾及延迟现象，仪器本身可实现照片和视频回放功能，视频回放功能可实现快速播放或慢速播放；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8.液晶触摸显示屏：尺寸10.1寸高清液晶触摸屏，屏幕分辨率≥1920×1200；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9.一机多功能：既有生物显微镜功能，又有实体显微镜功能；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10.数据存储：USB座可以正常连接U盘，接U盘时，U盘存储优先；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11.有坐标测量功能，切换十字形的带刻度的坐标尺的显示，通过坐标尺，可以估算被观察物体的大体尺寸和各种组成部分的相对比例；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12.配备外倾式四孔物镜转换器；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13.生物显微镜物镜：4×、10×、40×（弹簧）；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14.实体显微物镜：1X或2X；</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15.调焦手轮：双侧均有粗微动同轴调焦手轮，粗调行程（载物台升降行程）≥50mm，微调精度0.002mm，有限位、防滑装置；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16.照明装置：内置LED底光源、内置LED侧光源；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17.载物台：双层移动平台；</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18.聚光镜：插入式聚光镜。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数码液晶显微镜（教师端）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主要技术指标：</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1.一体化设计，仪器拆包装，液晶屏与机身已完好链接，接上电源即可使用，无需再进行目镜、物镜及其他部件的组装，摄像头在机身内部；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2.双目观察筒均具有屈光度调节功能，目镜：Φ18mm10×；物镜：无限远平场消色差物镜1×、4×、10×、40×（40×为弹簧物镜）；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3.为确保仪器使用的稳定性和安全性，仪器采用底座和支撑部件高度一体化铸造设计,省去传统组装环节，机身重量不低于6.5kg，机身上方设置明确提手，可以单手正置提起仪器。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4.外倾式四孔物镜转换器、双层移动式载物台、插入式聚光镜；</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5.照明装置：内置LED底光源，内置LED侧光源；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6.调焦机构：粗微动同轴调焦，左右两侧均有粗调与微调手轮，调焦行程（载物台升降行程）≥50mm；</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7.开关键为一键式无极旋钮且具备电源开关机、上下光源切换、亮度调节的功能；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8.仪器底座设置有液晶屏显示工作状态，显示光亮度级别，中文提示上、下光源模式等功能;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9.数码功能：显微镜拍照像素：≥800万像素；录像分辨率：≥1080P/30FPS；仪器运行内存为4G，存储内存为16G；通过USB接口接入U盘时，数据优先存储于U盘中，便于实验数据保存及转移；</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10.液晶显示屏尺寸和参数：≥10.1寸高清触摸液晶屏，屏幕分辨率≥1920×1200，像素密度不低于220PPI；水平旋转性能：屏幕可从正置方向顺时针转动180°至正背面方向,上下翻转性能：上下翻转角度可达180°；屏幕转动时，双目观察部件及屏幕影像画面不随之转动；</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11.数据接口：IEEE802.3标准RJ45接口，HDMI接口，二USB接口，同时支持WIFI；</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12.有坐标对比测量和定点测量功能；</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▲13.具有在观察画面上进行标注的功能，支持使用涂鸦、直线、圆形、文字等方式标注，并可生成图片提交作业；</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▲14.触控界面简洁明了，在观察界面即可完成以上拍照、录像、图库、标注、测量功能操作，屏蔽游戏、娱乐等一切与教学无关功能；</w:t>
            </w:r>
            <w:r>
              <w:rPr>
                <w:rFonts w:cs="宋体" w:asciiTheme="minorEastAsia" w:hAnsiTheme="minorEastAsia" w:eastAsiaTheme="minorEastAsia"/>
                <w:b/>
                <w:bCs/>
                <w:color w:val="auto"/>
                <w:szCs w:val="21"/>
                <w:highlight w:val="none"/>
              </w:rPr>
              <w:t xml:space="preserve">（提供具有法定资质的第三方检测机构出具的检测报告扫描件）</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15.仪器所有影像设置在出厂前都已经过工厂标准化统一设置完成；</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16.支持一键切换至EM，考生需完成姓名、考号身份登记后解锁操作权限；搭载独立数据隔离机制，实验数据独立存储，配置权限管控策略，仅管理员可查看数据，保障考试保密性。</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17.基础教学功能开放学生使用，高级功能模块（参数配置、功能定制、数据删改等）需通过管理员密码验证解锁；构建软件安全防护屏障，规避软件配置篡改、核心功能删除风险。</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18.教室端主控软件支持ED自动归集，内置数据结构化处理引擎，依据考生身份标识生成标准化数据报表，同一考生多组数据按列聚合展示，便于快速核查评分。</w:t>
            </w:r>
            <w:r>
              <w:rPr>
                <w:rFonts w:hint="eastAsia" w:cs="宋体" w:asciiTheme="minorEastAsia" w:hAnsiTheme="minorEastAsia" w:eastAsiaTheme="minorEastAsia"/>
                <w:color w:val="auto"/>
                <w:szCs w:val="21"/>
                <w:highlight w:val="none"/>
              </w:rPr>
              <w:br/>
            </w:r>
            <w:r>
              <w:rPr>
                <w:rFonts w:cs="宋体" w:asciiTheme="minorEastAsia" w:hAnsiTheme="minorEastAsia" w:eastAsiaTheme="minorEastAsia"/>
                <w:color w:val="auto"/>
                <w:szCs w:val="21"/>
                <w:highlight w:val="none"/>
              </w:rPr>
              <w:t xml:space="preserve">19.基于局域网实现设备自动扫描与发现；支持批量运维操作功能，可统一执行远程软件升级、教学/考试模式切换、终端文件批量上传、管理员密码重置、实验数据一键清空等操作，提升设备运维效率。</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生物显微演示装置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1、彩色，分辨率450TV线以上，放大倍数40×～1500×。37万像素。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2、具有USB接口。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3、可直接插入目镜筒。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4、单独纸盒包装。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双目立体显微镜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1、组成：镜座、托镜杆、镜筒、准焦螺旋、载物台、目镜、物镜等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2、规格：40倍。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3、产品成像应清晰，上下方向比小于视场直径的70%，左右方向比不小于视场直径的55%。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4、总放大倍率应符合下表的规定。2×、4×、10×、20×、40×。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5、成像应齐集,物镜放大率的误差不超出±5%。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6、目镜放大率误差不得超出±5%。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7、在瞳距63mm～65mm情况下，左右两视场中像的方向应一致，其不一致性≤40mm。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8、载物台：立柱式底座。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9、产品调焦机构应稳定，不应有自行下降现象。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10、各运动部分的移动应平稳舒适，定位明显，不应有卡住或急跳现象。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11、产品外表应美观，电镀层不应脱落，漆面均匀不应有脱漆损伤痕迹，零件不应有毛刺、锐边应倒棱。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12、每台一个专用木箱包装，并用螺钉固定。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1、组成：凸透镜、透镜框及手柄。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2、规格：手持型，凸透镜直径不小于φ50mm,有效通光孔径≥30mm， 放大倍率：5×。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3、透镜应无明显条纹。气泡度q为φ1.0 [0.5]。</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4、透镜框应能牢靠地夹持透镜。</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1、双筒望远镜由目镜、棱镜及物镜组成，有一个中央调焦装置可同时移动两个目镜。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2、双筒望远镜的倍率为7,镜头直径为35mm,射出瞳孔为6mm。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1、组成：矩形底座、立杆、烧瓶夹、大小铁环、垂直夹（2只）、平行夹等。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2、方座支架的底座尺寸为210×135mm，立杆直径为φ12mm，一端有M10×18mm螺纹，底座和立杆表面应作防锈处理。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3、底座放置平稳，无明显晃动现象，支承夹持可靠。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4、立杆与方座组装后应垂直。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1、组成：铁环和三只脚两部分。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2、铁环由铸铁制成，内径75mm±2mm，外径100mm±2mm，铁环底面有互为120°、直径φ15mm±1mm的三个圆台，用于加固三只脚。</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3、三只脚用直径φ5mm±0.5mm的圆钢制成。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4、三只脚脚距应相等，脚与环结合应紧固。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5、三只脚脚部应在同一平面内,放在平台上,三角架应平稳,环面在一平面内,平直度应小于0.5mm。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6、三脚架须经镀锌防锈处理，镀层均匀、牢固。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1、实验室用具，供放置试管用。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2、组成：顶板、底板、插杆组成6孔、6插。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3、材质：木质或塑料。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4、木质制成的，顶板、底板均经过脱脂、干燥处理，几何变形小，不易断裂。塑料制成的，工程塑料，无毒无害。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5、顶板为250mm×34mm×9mm的木板，6孔分布均匀，孔径不小于22mm，平面度误差≤1.2mm。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6、底板为250mm×65mm×10mm的木板，底板6孔应与顶板6孔同心，孔深2mm，平面度误差≤1.2mm。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7、插杆为长80mm，直径6mm，与底板孔对应成排.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8、试管架高度不小于120mm。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软尺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1、规格：1500mm。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2、材料：布制涂漆，宽度15mm，表面印有从0mm～1500mm的标志。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3、最小分度值：2mm。示值误差：±1mm。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4、线纹宽度应为0.3mm～0.5mm。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5、外观应平整、光滑。刻度线清晰，字迹清楚。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测微尺</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显微镜用，台式</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1、计量仪器，供中小学学生分组实验用。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2、最大称量200g，分度值0.2 g。</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3、秤量允许误差为±0.5d(分度值)。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4、砝码组合的总质量（包括标尺计量值）不小于天平的最大秤量。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5、冲压件及铸件表面应光洁平整，不应有毛刺、锋棱、裂纹和显见砂眼。</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6、电镀件的镀层应色泽均匀，不应有露底和显见的麻点、水迹、擦伤等缺陷。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1、计量仪器。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2、最大称量：100g，0.001g。</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1、采用电子芯片，电池电压为1.5V。</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2、外包装应采用防潮、防尘的硬纸盒包装，盒面与盒体采用纽扣式联接。</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3、数据可精确到0.01s。机体显示屏表面，配有秒表计时按钮。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4、秒表计时应带有简易计时、分段计时、两段时间显示。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5、具有每小时报时，每日定时响闹及自动重响功能，应可显示时间，12及24小时制式，日历、星期、防水，防震结构等功能。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1、手持式，有清零开关，手动。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2、技术范围：四位最大计数9999，精度：步进数为1。</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1、产品均为优质不锈钢制品。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2、七件为一套，含大、剪刀，大、小镊子，解剖刀、解剖针、弯头镊各一件。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3、解剖剪尖部两叶头应交叉吻合、平齐。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4、镊子弹性适中，紧合镊臂后，镊子尖端应密合，不能有缝隙和微张现象。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5、刀刃应开刃并无缺口、裂纹现象，针应挺直光滑。</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1、产品均为优质不锈钢制品。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2、四件为一套，含大剪刀，解剖刀，解剖针，弯头镊。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3、解剖剪尖部两叶头应交叉吻合、平齐。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4、镊子弹性适中，紧合镊臂后，镊子尖端应密合，不能有缝隙和微张现象。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5、刀刃应开刃并无缺口、裂纹现象，针应挺直光滑。</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1、解剖盘用铝合金板或不锈钢板冲压成型，其板厚≥0.5mm。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2、表面为石蜡覆盖，规格：140mm×250mm，允差5mm。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3、产品成型规范、平整，无变形。蜡层粘接牢固。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1、产品用不锈钢制造。总长度为130mm±2mm。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2、剪刀尖部两叶头应交叉吻合、平整，刃口在经剪切细骨后应无缺损。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3、剪刀的弹片应用优质钢簧制成，弹性适宜。弹片应镀铬。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4、铆接良好，松紧适度。</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接种箱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1、一种带有杀菌灯管、日光灯管的密闭箱式装置。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2、组成：箱体、杀菌灯管、日光灯管、镇流器、开关等零部件。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3、接种箱用经脱脂、干燥处理过的木材制成，窗口为透明玻璃制成，密封良好。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2、外形尺寸约为460*340*400mm ，箱体上部斜面为观察面，其中一面为活动式。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3、操作洞口共有2个，直径约为Φ100mm，并用白布套袖连接密封，袖套长约300mm。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5、在箱体顶部安装有紫外线灯一盏。</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台</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接种环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1、微生物实验教室器材。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2、手柄长不小于75mm，采用耐高温塑料材质制成，上接长118mm的铜制连接杆，附带螺旋式锁针孔锁住一根长97mm的银白色金属丝。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3、规格尺寸：长55mm±2mm，环直径5mm±0.2mm。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植物光合作用、呼吸作用、蒸腾作用演示器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1、模型由透明ABS容器与漏斗，上盖，试管，与试管架等组成。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2、透明的塑料容器，其容积大约为10000ml，一次性注塑成型,厚度不小于5mm。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3、外形尺寸：不小于165mm×173mm×272mm。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1、规格及主要指标：分度值0.02mm，升降范围0mm～10mm，精度0.01mm～0.10mm，外形尺寸不小于73mm～80mm。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2、夹持部分可靠，推进机构灵活、稳定，无跳动现象，刻度应准确。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2、平台应平整、光滑，无明显机械缺陷。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4、金属件应作镀铬处理，无漏底及镀层剥落现象。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1、可同时孵化4枚～6枚鸡蛋。</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2、恒温，温度调节范围35℃～40℃，温度波动应≤±1ºC。温度均匀性允差为±1ºC。可根据孵化要求调节温度。</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3、电源：交流220V～240V/50HZ，功率：＜115W。</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研磨过滤器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1、容量20ml，研磨过滤器由顶盖，研磨杆，外套筒组成，材质：聚丙烯工程塑料。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2、研磨杆位于外套筒内，研磨杆为中空管，其下部有支撑架。外套筒内底部为高低不平的研磨面。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3、研磨过滤器具有固体粉碎、搅拌浸提、固液分离三种功能。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1、每层配专用广谱灯一套，光照强度3000x、5000x两档可调，光照独立控制，可自动定时。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2、培养架表面烤漆处理，插孔暗式布线。</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套</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1、产品为洋葱表皮细胞显微结构的立体模型，长约33cm，宽为18~20cm，厚约5cm。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2、示一个细胞的完整形态及其毗邻关系。</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3、细胞的结构示细胞壁、细胞膜、细胞质、细胞核、核仁和液泡。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4、各部结构从不同角度观察应正确、自然，着色应协调。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5、细胞核应呈扁球体，直径5~7cm，厚2~3cm，位于细胞中部的一侧，应示核膜、核质和核仁。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6、液泡1~2个，应呈不规则的囊状。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7、缝口、内部元件的粘合应牢固，不得有错缝和明显的痕迹。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1、产品为根尖纵、横剖面模型，放于支架上，可水平移动。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2、根尖中部做不同方向的纵剖面，突出维管柱，示根冠、分生区（生长点）、伸长区、成熟区（根毛区）和原形成层等。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3、成熟区做不同层次的横剖，示表皮、皮层和维管柱。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4、模型以单子叶植物玉米的根尖为主要参考材料。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5、各种类型的细胞特点应明显、正确。各区颜色的过度应自然。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6、根冠高7~10cm，分生区高10~11cm，伸长区高18~20cm。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7、根毛与表皮的粘接应自然、牢固。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1、产品为显微结构的立体放大模型。包括环纹导管、螺纹导管、网纹导管、孔纹导管及筛管。各种导管及筛管的外直径依次不小于40mm、40mm、50mm、60mm、40mm。长度不小于250mm，两端开口。</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2、环、螺、网纹导管模型须显示至少一个分子间界，筛管及孔纹导管至少显示一个分子，筛管一侧还应示伴胞。</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3、各种导管及筛管的形态结构应正确、自然。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4、各部位粘接应牢固，且内部纹路应相互吻合。</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1、产品是单子叶植物茎纵、横切面的模型，为横切面的1/10（去掉中央部分），高不小于12cm，长约40cm，跨径约40cm。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2、通过节间做横剖，示表皮、机械组织及散生在基本组织中的维管束。在纵剖面上示上述组织的纵剖结构。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3、维管束横剖面上，示气道、导管、筛管、筛板和筛孔。在一侧的纵剖面上，示环纹导管、螺纹导管、孔纹导管、筛管和筛板等结构。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4、模型以玉米茎为参考材料。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5、各部细胞的形态结构、比例应正确，在模型上应示细胞的表面观和不同剖面。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6、各部结构的颜色应有区别。纵、横剖面上的细胞应对应准确。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7、各缝处应修饰自然、正确、牢固。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1、产品是双子叶草本植物茎的纵、横切面的模型，为横切面约为茎的2/3，高15~18cm，直径32~35cm。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2、横剖面上示表皮、皮层、维管束（初生韧皮部、束中形成层、初生木质部）髓和髓射线。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3、纵剖面的一侧通过髓射线，另一侧通过维管束的中部做径向纵切。并于纵切面的一侧将角质层、表皮和厚角组织分层剥掉，示表皮、厚角、薄壁等细胞的表面观。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4、维管束的横断面上，应示导管、筛管、筛板和筛孔。在纵断面上示环纹导管、螺纹导管、孔纹导管、筛管和筛板等结构。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5、模型以向日葵茎为参考材料。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6、各部细胞的形态结构、位置应正确，在模型上应示细胞的表面观和不同剖面。部分生活细胞应示胞核。</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7、各部结构的颜色应有区别。纵、横剖面上的细胞应对应准确。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8、各缝处应修饰自然、正确、牢固。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1、产品为双子叶植物叶构造模型。长约45cm，宽约15cm，叶主脉处高18~20cm。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2、通过主脉做部分叶片的横切，在模型的一边示主脉、细脉、上下表皮、栅栏组织和海绵组织。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3、在模型的另一边，通过各种剖面，示主脉与侧脉的连接关系以及主、侧脉的纵切和细脉的横剖面。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4、模型以蚕豆叶为参考材料。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5、各部细胞的形态结构、位置应正确。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6、各部结构的颜色应有区别。纵、横剖面的细胞应对应准确。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7、各缝处应修饰自然、正确、牢固。</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1、产品为放大的桃花模型，直径约35cm，示盛开形态。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2、花瓣、子房可拆装，子房纵剖示胚珠。</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3、桃花的结构示：花柄、花托、花萼（萼片5个）、花冠（花瓣5个）、雄蕊（25~30个）和雌蕊。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4、各部的形态结构和颜色应正确自然，富有真实感。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5、各部的接插件应安装牢固，松紧适度，便于拆装。</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1、产品为放大之小麦花模型，高约30cm，附以小穗为单位（至少八个）的复穗状花序模型，放于支架上。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2、大部小穗可拆下，个别小穗去掉频片和外稃。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3、小穗示两片频片和3～5朵小花。</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4、放大小麦花的结构示：外稃、内稃、雄蕊（3个）、雌蕊（一个）和两个浆片。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5、各部的形态结构及颜色应正确自然、富有真实感。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6、各部的接插件应安装牢固，松紧适度，便于拆装。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7、应显示每个小穗着生在穗轴上的正确位置。</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8、小麦花的外稃和内稃的形态应正确。外稃应示中脉和芒的一般。</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9、雄蕊应示花丝，花丝顶端与花药背面中部相连。</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10、花药其中应有一个呈纵裂状态，示花粉粒。一个做横剖示四个花粉囊和药隔。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11、雌蕊的柱头二裂，应呈羽毛状。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12、浆片应供于外稃和子房之间，呈膨大状。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1、适用于中学动物教学使用。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2、产品约为60cm长的蝗虫解剖模型，固定于支架上。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3、蝗虫为雌性，沿线偏左纵剖，去左侧体壁。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4、示右侧外形：头部（口器、触角、单眼和复眼）、胸部（前、中、后胸、前、后翅和前、中、后足）、腹部（十一个体节、听器、气门和产卵器）。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示内部结构：消化系统、循环系统、呼吸系统、排泄系统、神经系统、生殖系统、体壁上的肌肉。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5、各部的形态结构、位置、比例应正确，外形着色应自然逼真，内部结构应清晰协调。缝口衔接处应严密。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1、产品为八个放大之蛙胚胎发育模型组成，前六个的直径不小于10cm，后两个按比例延长，每个模型均置于支架上。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2、卵裂期示完整的外形，其他期作剖面，示其内部结构。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3、八个模型分别显示蛙胚胎的几个发育阶段： 受精卵、四细胞期、八细胞期、囊胚期、原肠早期、原肠晚期、神经胚前期、5.5mm期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4、蛙胚胎各期的外形及内部结构应正确。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5、在胚胎剖面上，外胚层为兰色，冲胚层为粉红色，内胚层为黄色。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6、受精卵、四细胞和八细胞的外形应用颜色正确显示动物极、植物极及新月区。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7、在囊胚外形和剖面上，应正确显示动物极的细胞较小，植物极的细胞较大，囊胚腔偏于动物极。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8、在原肠早期的剖面上，应正确显示背唇及内、外胚层。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9、在原肠晚期的剖面上，应正确显示外、中、内三个胚层及胚孔处的卵黄栓。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10、神经胚前期做纵、横剖面，应正确显示神经板、脊索、中胚层和原肠腔等结构。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11、5.5mm期做纵、横剖面，横剖应过心脏及体中部、示脑、神经管、脊索、消化道、肝、心及体节等结构。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1、产品为草覆虫纵剖模型。长约370mm，中宽约80mm，用支架固定于底板上。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2、示表膜表面六角形小区及纤毛。</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3、纵剖面上显示：表膜、口沟、胞口、胞咽、波动膜、食物泡、肛点；二个伸缩泡及其收集管；大核、小核；外质及其中的刺丝泡，颗粒状的内质。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4、纤毛长约10mm，口沟及后端部分稍长，应在剖面周围显示数圈，纤毛方向与表膜垂直。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5、胞咽呈漏斗形，稍凹陷，其内侧面示波动膜。胞咽后连一个食物泡，其它食物泡不少于7个，按其流动路线由大到小分布在内质中。其中两个食物泡做剖面。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6、肛点在口沟一侧稍后。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7、两个伸缩泡各有6条收集管，一个伸缩泡呈收缩状，其周围收集管舒张，另一个呈伸张状，其周围收集管收缩。</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8、大核呈肾形，长约55mm，宽约25mm，位于体中央，凹面向着口沟。小核位于大核的凹面处。剖面上两核都呈凸状，示其完整形态。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9、各部着色应协调，并能相互区分。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1、产品为环毛蚯蚓前34节的解剖放大模型，长不小于600mm，沿背中线自第32节处剖开体壁，并向两侧展开，宽不小于230mm，在第34节中部做横断面直径不小于100mm。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2、模型采用硬塑料或复合材料制作，不应采用软塑料，模型置于底座上，消化道可拆装。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示口前叶、围口节、体节、节间沟、环带、生殖孔和部分背孔，除环带和围口节外，各节中央示一圈刚毛，雄性生殖孔一对，位于第18节腹面两侧；雌性生殖孔一个,位于第14节腹面中央；受精囊孔三对，位于6/7，7/8，8/9节间的腹面两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4、体腔内除第1～4节和第8/9，9/10节间无隔膜外，其余各节间均显示隔膜痕迹。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5、横断面上示皮层、刚毛、体壁纵肌、体壁环肌、盲道、肠壁、肠腔以及背血管、神经下血管、腹神经索的断面。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6、纵切面与横断面上的体壁结构应相对应。</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7、消化系统示口、咽、食道、砂囊、胃、肠和盲肠。咽位于第3～4节，食道位于第5～8节，砂囊位于第8～９节，胃位地第9～14节内，肠起自第15节。盲肠一对，起始于第26节，止于23节，呈锥状，盲道向前。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循环系统示背血管、腹血管、心脏、食道侧血管、胃上血管、前环血管、神经下血管。心脏四对，呈长囊形，位于第7、9、12、13节，各连接背血管和腹血管，后两对心脏的分枝还与胃上血管相连。前环血管两对，位于第10、11节，连接食道侧血管和胃上血管，食道侧血管位于前13节内的食道腹侧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神经系统示咽上神经节、咽下神经节、围咽社经和腹神经索。咽上神经节一至，位于第3节的咽头背面，咽下神经节在第3节咽关腹面并与神经索相连.腹神经索在每个体节的中央均膨大成神经节，并分出三对外周神经。</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10、生殖系统示精巢囊、精漏斗、储精囊、输精管、前列腺、卵巢、卵漏斗、输卵管、受精囊。精巢囊二对，位于第10、11节，一侧的剖开示其中的精巢和精漏斗。储精囊二对，位于第11、12节，紧接在精巢囊之后并与之相通，输精管在第13节后并生，至第18节处与前列腺和会合；卵巢一对，附于12/13节的隔膜后方，靠近体壁，呈葡萄状；卵漏斗一对，位于13/14节隔膜前方与卵巢相对应；输卵管一对穿过隔膜延伸至第14节会合；受精囊三对，位于第7、8、9节，示坛囊、坛管和盲管。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11、模型上各部位或器官均应贴名签或号签。如贴号签时必须有与号签相对应的号签注解，贴在底座上。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12、模型下列部位贴名签或号签：口前叶、围口节、环节、受精囊孔、雄性生殖孔、雌性生殖孔、背孔、刚毛、体壁的表皮层、肌肉层、体腔膜、盲道、肠壁、肠腔、口、咽、食道、砂囊、胃、肠、盲肠、背血管、腹血管、心脏、食道侧血管、胃上血管、前环血管、神经下血管、咽上神经节、咽下神经节、围咽神经、腹神经索、精巢、精漏斗、储精囊、输精管、前列腺、卵巢、卵漏斗、输卵管、受精囊。</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13、产品应能适应气温在－25℃和40℃的环境条件下运输和贮存。</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14、说明书附结构示意图。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1、模型为一对合抱的雄虫和雌虫，可拆装。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2、雄虫的前端和雌虫的后端分别作部分纵剖。</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3、雄虫粗短、乳白色。示口吸盘、腹吸盘、抱雌沟、精巢、贮精囊、食管和肠支等结构。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4、雌虫细长，暗黑色。主要显示：口吸盘、腹吸盘、子宫、卵膜、卵巢、输卵管、卵黄管、卵黄腺和肠管等结构。</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5、模型采用硬塑料或复合材料制成，长度不小于500mm。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6、模型上各部位或器官均应名签或号签。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7、各部的形态结构和颜色应正确自然，富有真实感。</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1、模型材质为PVC，无毒且环保。</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2、始祖鸟复原模型的身体大小和姿态根据化石模型的比例来确定，体长不小于450mm。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3、示头、颈、躯干、尾、翼、足。</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4、头部布满鳞片，体被羽毛，尾羽对称排列。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5、头顶平，嘴无喙具齿，鼻孔位于上颌前端.</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6、上三指彼此分离，指分节指端具爪。</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7、趾分节，三趾向前一趾向后，部与趾均具鳞片。</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8、齿着白色，眼、爪、体、底座颜色应有区别。</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9、说明书附结构示意图。</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1、标本用体长不小于150mm的鲫或鲤制作（应注明）。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2、标本右侧向衬板，并展开背鳍或尾鳍，显示其外形。</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4、血管内分注红、蓝两色剂。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1、标本大形青蛙或蟾蜍制作（应注明）。</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2、将躯干背面的皮向上方翻开，以显示皮下动、静脉之分布。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4、血管内分注红、蓝两色剂。标本的背面向衬板。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1、标本由石龙子科、蜥蜴科中较大型的个体制作，体长不小于100mm。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2、标本沿腹中线切开，体壁翻向两侧，前、后肢自然伸展，肩带和腰带的腹面切掉。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3、血管内分注红、蓝两种色剂。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4、标本背面向衬板。</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1、标本背面向衬板，血管内分注红、蓝两色剂。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2、保留头部羽毛，颈和前、后肢伸展，显示外部形态。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3、左侧的胸肌翻向外侧，显示胸动、静脉在胸肌中的分布。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兔蜴解剖浸制标本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1、标本背面向衬板，四肢伸展，显示外部形态，血管内分注红、蓝两色剂。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2、标本沿腹中线切开，将皮翻向两侧，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3、标本应完整显示动物的消化系、呼吸系、循环系、排泄系、生殖系等。</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4、标本应完整无缺、并保持自然色。</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1、标本由蛙的下列八个发育期组成：①单细胞期②尾牙期（已能区分头尾）③具外腮的蝌蚪④具内腮的蝌蚪⑤具后肢的蝌蚪⑥具前后肢蝌蚪⑦尾缩期的蝌蚪⑧幼蛙。</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2、①～③期在容器中不定位，④～⑧期以腹面向下定位。再按发育顺序自左向右排列。</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3、各期标本应完整无缺、饱满、肢体伸展（有肢体期），并保持自然色。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1、标本用前、后端之最长距离不小于200mm雌性蛔虫和前、后端之最长距离不小于160mm的雄性蛔虫制作。</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2、标本应完整无缺、并保持自然色，整体浸制在密封包装的标本瓶内。</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3、各组件有标签标注。</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1、标本在100x和400x生物显微镜下观察动物细胞有丝分裂的各期形态。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2、能看清细胞分裂过程中的三个时期：前期、中期和后期或中期、后期和末期。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3、能看清分裂前的细胞核和分裂各期的中心体（中期和后期显著）、染色体以及卵壳、为宫壁等，纺锤体隐约可见。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4、标本得材于马蛔虫子宫，作子宫的纵切片，材料长度不小于10mm，每张玻片板放材料一片；也可作子宫的横切片，每张玻片放不同部位的横切片2片～4片，以保证观察到细胞分裂的各个时期。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5、切片厚度为6um～8um。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6、卵和卵壳基本呈圆形，子宫内卵应饱满，卵不得脱出卵壳外，胞核、染色体、中心体着色明显，子官壁完整。</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片</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中学生物显微图谱</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1．选用钠钙玻璃制成Y形，用于导管分流。2. 熔解部位平滑、均匀、无气泡。3. 内应力消除：在偏光仪下呈紫红色。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产品为90mm的直形滴管，上部套有吸液用的橡皮头。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 玻管部分上口呈喇叭形翻边，与橡皮头配合严密。口沿处径熔光处理，灯工拉伸部位无明显扭曲现象。橡皮头无破损和老化现象。3. 玻管长90±10mm，管径Φ8±0.5mm，喇叭口翻边外径Φ10±0.5mm，拉细管口外径为Φ3.5±0.5mm。4. 应力要求：在偏光应力仪下观察呈紫红色。</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φ15mm×280mm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茶，30mL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1、本品由木料或竹子制作，由长臂和短臂及弹簧组成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2、外形尺寸180mm×20mm×11mm，允差1mm。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3、弹簧由Φ1mm的弹簧钢丝制成。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4、所用木材要求脱脂干燥处理，无裂纹，光滑，锯端面无毛刺，无刺手感。</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5、长短臂、头部，各有一半圆孔约为3mm，并贴上卫层垫子。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6、试管夹最大升度约为22mm。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7、试管夹所附毡块应粘接牢固，不得脱落。</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8、试管夹弹簧应有足够弹性，并作防锈处理。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1、本品供生物实验夹持乳胶管用。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2、止水夹材料采用直径Φ1.8mm～2mm65锰钢丝加工制成Ｔ型弹簧夹。</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3、外形尺寸部小于50mm×55mm×8mm，由夹子及挡板组成。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4、夹顶部绕张制不小于Φ10mm的两圈，短臂手持两端高度不〈12mm。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5、压缩弹簧，其张开距离不〈20mm，手松开止水夹恢复原位。</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6、钢丝及挡板表面镀锌。</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1、供生物实验实验用。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2、本品用于化学实验时隔热。</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3、石棉网外形尺寸为125mm×125mm±1mm。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4、铁丝网上涂防锈漆，四边加折不小于5mm。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5、石棉膏涂复面积不小于直径Φ80mm，涂复厚度应在1mm±0.2mm。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6、石棉膏表面平整、牢固、均匀，无划痕，无粉尘脱落。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产品为塑料或骨质材料制成。2. 两端分别为大小匙勺，全长不小于150mm。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φ5mm×6mm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φ3mm×4mm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1、供中学生物实验用。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2、型号规格：000号、00号、0号、1号～10号共13个型号。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3、本胶塞由天然橡胶、合成橡胶和多种辅料混炼硫化而成。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4、适用酸碱度PH 2～10。</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5、胶塞表面光洁、白色微黄、无明显缺陷。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6、胶塞硬度：邵尔硬度50度～60度。</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1、产品用优质乳胶制造。要求无砂眼，有弹性，厚薄均匀。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2、规格：内径5mm×7mm. 6mm×9mm. 8mm×12mm. 10mm×14mm。壁厚1mm。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3、产品每根之长度应不少于10米。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千克</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1、规格：玻璃，60mm。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2、培养皿由一个底和一个盖组成,是用作培养细菌的化学器材。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3、底外径：Φ80-0.5mm；底高：22mm±1mm。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4、盖外径：Φ88+0.5mm；盖高：20mm±2mm；底盖厚：1－0.2mm。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5、产品厚薄均匀，底部平整，口部平磨细密光滑，口应磨平。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1、规格：玻璃，100mm。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2、培养皿由一个底和一个盖组成,是用作培养细菌的化学器材。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3、底外径：Φ100-0.5mm；底高：22mm±1mm。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4、盖外径：Φ108+0.5mm；盖高：20mm±2mm；底盖厚：1－0.2mm。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5、产品厚薄均匀，底部平整，口部平磨细密光滑，口应磨平。</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瓷，60mm造形规整，表面光滑，无结石、气泡及凹凸不平等现象。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1、在实验时用来放置实验材料的玻璃片，呈长方形，较厚，有较好的透光性。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2、45°角，抛光边载玻片；规格(mm)：25.4x76.2（1＂x 3＂)；厚度(mm)：0.8-1；包装：50片/盒，化学性能稳定，</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光学浮法玻璃，可见光透光率≥91%，整片无气泡、划痕、雾斑；</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四边精密磨圆角，无崩边毛刺，平面平整无翘曲；耐碘液、生理盐水、稀酸碱腐蚀，亲水不挂液，制装片不易起泡。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1、标准型，环保产品。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2、可在纸上、塑胶、玻璃、白板、金属等大部分固体上书写，可永久附著，不脱色，有标准的12色，墨水属油性，无毒。</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3、在塑胶、玻璃、白板、金属上书写时，可以用酒精等有机溶剂擦去笔迹。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昆虫针</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不锈钢丝制作，针头锋利、针球牢固。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昆虫盒</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漆布木制成型，外表漆布。针插标本盒盒底粘有泡膜板或软木便于插针。</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盒</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1、由测电头、绝缘手柄组成。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2、采用数字显示；光示感应，数字显示准确、清晰；光亮显示明显。</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3、测量范围：交流12V—220V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4、手柄绝缘性能良好。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1、适用于初中物理、化学、生物和小学科学实验室用。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2、规格：75mm×0.6mm×4mm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3、旋杆长度采用45#钢，工作部硬度不低于HRC48。</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4、旋杆长度L:75mm，直径D:4mm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5、旋杆应经镀鉻防锈处理。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6、旋柄为硬质塑料制成，表面光洁、无毛刺，无缩迹。与旋杆接合牢固，并有产品标记及标准编号。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1、适用于初中物理、化学、生物和小学科学实验室用。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2、规格：75mm。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3、旋杆材料采用45#钢，工作部长度内硬度HRC48～54。</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4、旋杆长度L:75mm，直径D:4mm。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5、旋杆应经镀铬防锈处理。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6、旋柄为硬质塑料制成，表面光洁无毛刺，无缩迹，与旋杆接合牢固，并有产品标记和标准编号。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支</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1、由钢锯弓、钢锯条组成。金属锯身，锯弓尺寸可以调节，锯条长度约300mm 。</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2、手柄握捏部位应光滑舒适。采用钢材。</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3、锯架表面不应有裂纹，锈渍、毛刺、剥落等缺陷，表面处理色泽一致。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4、锯条不少于10条。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5、锯条和锯弓配合良好。</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总长：175mm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总长：160mm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规格：0.5kg （圆柱形），锤体用45＃优质碳素钢制成，手锤把为空心钢管。手锤把与手锤连接牢固。</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规格：长180mm或200mm、250mm。</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把</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花盆</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1．塑料制。</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2．直径大于20cm，高度大于17cm，反边。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1、物理、化学、生物实验教学用。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2、制作用料为棉织品。</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3、服装规格以中号为主，身长120cm。外观无破损、斑点、污物等缺陷。</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件</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1、护目镜镜片由高级光学树脂（聚碳酸酯）制成，透光率高，应达到97％，强度好，防摔，能遮挡各种强光、射线等辐射，且耐腐蚀，无屈光度，侧面完全遮挡。</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2、镜片无波纹、无结瘤、疵点、无划伤等缺陷。</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3、镜架具有一定的强度，且佩戴舒适。</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4、配眼镜专用盒，并附擦镜布一块。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二十</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1、规格1000×500×2000mm(±5mm)；</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3、上柜门：采用增强型PP材质一体注塑成型，外嵌4mm(±0.5mm)钢化烤漆玻璃,中间玻璃做镂空处理，透明可视。</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4、下柜门：采用增强型PP材质一体注塑成型，外嵌4mm(±0.5mm)钢化烤漆玻璃。</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5、门把手：采用增强型PP材质一次注塑成型，安装于两门的门缝处，凹凸配套，增加柜子内部的气密性。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6、层板：上柜配两块活动层板，下柜配一块活动层板；层板采用工程塑料经模具挤出成型，中空双层结构，内部均匀分布加强筋并内置两条30×15mm钢管；两边配置密封堵头，整板无裸露金属，避免腐蚀生锈，美观耐用。层板可以抽取，自由组合各层空间。</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7、门铰链：用改性pp材料模具一次成型，伸缩式pp旋转门轴，内嵌隐藏方便安装，耐腐蚀。</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8、柜门固定所需螺丝均采用304不锈钢，柜子内部空间无裸露金属材料，确保柜子的耐腐蚀性。</w:t>
            </w:r>
            <w:r>
              <w:rPr>
                <w:rFonts w:hint="eastAsia" w:cs="宋体" w:asciiTheme="minorEastAsia" w:hAnsiTheme="minorEastAsia" w:eastAsiaTheme="minorEastAsia"/>
                <w:color w:val="auto"/>
                <w:szCs w:val="21"/>
                <w:highlight w:val="none"/>
              </w:rPr>
              <w:br/>
            </w:r>
            <w:r>
              <w:rPr>
                <w:rFonts w:hint="eastAsia" w:cs="宋体" w:asciiTheme="minorEastAsia" w:hAnsiTheme="minorEastAsia" w:eastAsiaTheme="minorEastAsia"/>
                <w:color w:val="auto"/>
                <w:szCs w:val="21"/>
                <w:highlight w:val="none"/>
              </w:rPr>
              <w:t xml:space="preserve">9、柜子顶部留通风系统接口，与通风管路连接；接口处配有手动调节装置，可以打开或关闭通风口。</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个</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准备室全套设备安装调试</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包含所供产品室内安装，每组模块间采用活接式连接，方便安装、检修。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项</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二十一</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（3F）生物实验室文化布置及配套改造</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left"/>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left"/>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根据学校要求定制生物高清写真，结构有新意，表达性强。整体设计符合中学生的审美观念。包含基础改造及窗帘配套安装。整体设计符合中学生的审美观念。</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4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室</w:t>
            </w:r>
            <w:r/>
          </w:p>
        </w:tc>
      </w:tr>
    </w:tbl>
    <w:p>
      <w:pPr>
        <w:jc w:val="center"/>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jc w:val="left"/>
        <w:spacing w:line="360" w:lineRule="auto"/>
        <w:rPr>
          <w:rFonts w:asciiTheme="minorEastAsia" w:hAnsiTheme="minorEastAsia" w:eastAsiaTheme="minorEastAsia"/>
          <w:b/>
          <w:color w:val="auto"/>
          <w:sz w:val="28"/>
          <w:highlight w:val="none"/>
        </w:rPr>
      </w:pPr>
      <w:r>
        <w:rPr>
          <w:rFonts w:hint="eastAsia" w:asciiTheme="minorEastAsia" w:hAnsiTheme="minorEastAsia" w:eastAsiaTheme="minorEastAsia"/>
          <w:b/>
          <w:color w:val="auto"/>
          <w:sz w:val="28"/>
          <w:highlight w:val="none"/>
        </w:rPr>
        <w:t xml:space="preserve">三、实施依据</w:t>
      </w:r>
      <w:r/>
    </w:p>
    <w:p>
      <w:pPr>
        <w:pStyle w:val="802"/>
        <w:ind w:left="0" w:firstLine="426"/>
        <w:jc w:val="left"/>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《教育强国建设规划纲要（2024—2035年）》</w:t>
      </w:r>
      <w:r>
        <w:rPr>
          <w:rFonts w:hint="eastAsia" w:asciiTheme="minorEastAsia" w:hAnsiTheme="minorEastAsia" w:eastAsiaTheme="minorEastAsia"/>
          <w:color w:val="auto"/>
          <w:sz w:val="24"/>
          <w:highlight w:val="none"/>
        </w:rPr>
        <w:t xml:space="preserve">、教育部《中小学理科实验室装备规范》JY/T 0385-2006、《江苏省中小学理科教学仪器配备目录》、《教育部关于加强和改进中小学实验教学的意见》教基〔2019〕16号、《基础教育课程教学改革深化行动方案》教材厅函〔2023〕3号、《关于推进教育新型基础设施建设构建高质量教育支撑体系的指导意见》教科信〔2021〕2号等，以上依据未注明标准以国家现行标准为准。</w:t>
      </w:r>
      <w:r/>
    </w:p>
    <w:p>
      <w:pPr>
        <w:jc w:val="left"/>
        <w:spacing w:before="240" w:after="240"/>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四</w:t>
      </w:r>
      <w:r>
        <w:rPr>
          <w:rFonts w:cs="宋体" w:asciiTheme="minorEastAsia" w:hAnsiTheme="minorEastAsia" w:eastAsiaTheme="minorEastAsia"/>
          <w:b/>
          <w:bCs/>
          <w:color w:val="auto"/>
          <w:sz w:val="24"/>
          <w:highlight w:val="none"/>
        </w:rPr>
        <w:t xml:space="preserve">、技术要求</w:t>
      </w:r>
      <w:r/>
    </w:p>
    <w:p>
      <w:pPr>
        <w:pStyle w:val="802"/>
        <w:ind w:left="0" w:firstLine="241"/>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w:t>
      </w:r>
      <w:r>
        <w:rPr>
          <w:rFonts w:hint="eastAsia" w:asciiTheme="minorEastAsia" w:hAnsiTheme="minorEastAsia" w:eastAsiaTheme="minorEastAsia"/>
          <w:b/>
          <w:color w:val="auto"/>
          <w:sz w:val="24"/>
          <w:highlight w:val="none"/>
        </w:rPr>
        <w:t xml:space="preserve">技术参数</w:t>
      </w:r>
      <w:r>
        <w:rPr>
          <w:rFonts w:asciiTheme="minorEastAsia" w:hAnsiTheme="minorEastAsia" w:eastAsiaTheme="minorEastAsia"/>
          <w:b/>
          <w:color w:val="auto"/>
          <w:sz w:val="24"/>
          <w:highlight w:val="none"/>
        </w:rPr>
        <w:t xml:space="preserve">要求</w:t>
      </w:r>
      <w:r>
        <w:rPr>
          <w:rFonts w:hint="eastAsia" w:asciiTheme="minorEastAsia" w:hAnsiTheme="minorEastAsia" w:eastAsiaTheme="minorEastAsia"/>
          <w:b/>
          <w:color w:val="auto"/>
          <w:sz w:val="24"/>
          <w:highlight w:val="none"/>
        </w:rPr>
        <w:t xml:space="preserve">：</w:t>
      </w:r>
      <w:r/>
    </w:p>
    <w:p>
      <w:pPr>
        <w:pStyle w:val="802"/>
        <w:ind w:left="0" w:firstLine="24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技术参数</w:t>
      </w:r>
      <w:r>
        <w:rPr>
          <w:rFonts w:hint="eastAsia" w:asciiTheme="minorEastAsia" w:hAnsiTheme="minorEastAsia" w:eastAsiaTheme="minorEastAsia"/>
          <w:color w:val="auto"/>
          <w:sz w:val="24"/>
          <w:highlight w:val="none"/>
          <w:lang w:val="en-US" w:eastAsia="zh-CN"/>
        </w:rPr>
        <w:t xml:space="preserve">指标</w:t>
      </w:r>
      <w:r>
        <w:rPr>
          <w:rFonts w:hint="eastAsia" w:asciiTheme="minorEastAsia" w:hAnsiTheme="minorEastAsia" w:eastAsiaTheme="minorEastAsia"/>
          <w:color w:val="auto"/>
          <w:sz w:val="24"/>
          <w:highlight w:val="none"/>
        </w:rPr>
        <w:t xml:space="preserve">按重要性分为“★”和▲”。“★”代表实质性指标，不满足该指标项将导致投标无效，“▲”代表重要指标，其它代表一般指标项。标有“★”的功能和技术参数必须满足要求，不得出现负偏离、否则视为无效投标。</w:t>
      </w:r>
      <w:r/>
    </w:p>
    <w:p>
      <w:pPr>
        <w:ind w:firstLine="241"/>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 xml:space="preserve">2</w:t>
      </w:r>
      <w:r>
        <w:rPr>
          <w:rFonts w:asciiTheme="minorEastAsia" w:hAnsiTheme="minorEastAsia" w:eastAsiaTheme="minorEastAsia"/>
          <w:b/>
          <w:bCs/>
          <w:color w:val="auto"/>
          <w:sz w:val="24"/>
          <w:highlight w:val="none"/>
        </w:rPr>
        <w:t xml:space="preserve">.</w:t>
      </w:r>
      <w:r>
        <w:rPr>
          <w:rFonts w:hint="eastAsia" w:asciiTheme="minorEastAsia" w:hAnsiTheme="minorEastAsia" w:eastAsiaTheme="minorEastAsia"/>
          <w:b/>
          <w:bCs/>
          <w:color w:val="auto"/>
          <w:sz w:val="24"/>
          <w:highlight w:val="none"/>
        </w:rPr>
        <w:t xml:space="preserve">送样要求：</w:t>
      </w:r>
      <w:r/>
    </w:p>
    <w:p>
      <w:pPr>
        <w:jc w:val="left"/>
        <w:spacing w:before="240" w:after="240"/>
        <w:widowControl/>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 xml:space="preserve">1</w:t>
      </w:r>
      <w:r>
        <w:rPr>
          <w:rFonts w:cs="宋体" w:asciiTheme="minorEastAsia" w:hAnsiTheme="minorEastAsia" w:eastAsiaTheme="minorEastAsia"/>
          <w:color w:val="auto"/>
          <w:sz w:val="24"/>
          <w:highlight w:val="none"/>
        </w:rPr>
        <w:t xml:space="preserve">.1送样清单</w:t>
      </w:r>
      <w:r>
        <w:rPr>
          <w:rFonts w:hint="eastAsia" w:cs="宋体" w:asciiTheme="minorEastAsia" w:hAnsiTheme="minorEastAsia" w:eastAsiaTheme="minorEastAsia"/>
          <w:color w:val="auto"/>
          <w:sz w:val="24"/>
          <w:highlight w:val="none"/>
        </w:rPr>
        <w:t xml:space="preserve">及</w:t>
      </w:r>
      <w:r>
        <w:rPr>
          <w:rFonts w:cs="宋体" w:asciiTheme="minorEastAsia" w:hAnsiTheme="minorEastAsia" w:eastAsiaTheme="minorEastAsia"/>
          <w:color w:val="auto"/>
          <w:sz w:val="24"/>
          <w:highlight w:val="none"/>
        </w:rPr>
        <w:t xml:space="preserve">制作要求：</w:t>
      </w:r>
      <w:r/>
    </w:p>
    <w:tbl>
      <w:tblPr>
        <w:tblStyle w:val="764"/>
        <w:tblW w:w="9805"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96"/>
        <w:gridCol w:w="2159"/>
        <w:gridCol w:w="6003"/>
        <w:gridCol w:w="947"/>
      </w:tblGrid>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left"/>
              <w:spacing w:line="560" w:lineRule="atLeast"/>
              <w:widowControl/>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ind w:firstLine="525"/>
              <w:jc w:val="left"/>
              <w:spacing w:line="560" w:lineRule="atLeast"/>
              <w:widowControl/>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ind w:firstLine="1365"/>
              <w:jc w:val="left"/>
              <w:spacing w:line="560" w:lineRule="atLeast"/>
              <w:widowControl/>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制作要求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spacing w:line="560" w:lineRule="atLeast"/>
              <w:widowControl/>
              <w:rPr>
                <w:rFonts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数量</w:t>
            </w:r>
            <w:r/>
          </w:p>
        </w:tc>
      </w:tr>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111</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学生实验桌（陶瓷面板）</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jc w:val="left"/>
              <w:spacing w:line="560" w:lineRule="atLeast"/>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制作</w:t>
            </w:r>
            <w:r>
              <w:rPr>
                <w:rFonts w:cs="宋体" w:asciiTheme="minorEastAsia" w:hAnsiTheme="minorEastAsia" w:eastAsiaTheme="minorEastAsia"/>
                <w:color w:val="auto"/>
                <w:sz w:val="24"/>
                <w:highlight w:val="none"/>
              </w:rPr>
              <w:t xml:space="preserve">要求详见</w:t>
            </w:r>
            <w:r>
              <w:rPr>
                <w:rFonts w:hint="eastAsia" w:cs="宋体" w:asciiTheme="minorEastAsia" w:hAnsiTheme="minorEastAsia" w:eastAsiaTheme="minorEastAsia"/>
                <w:color w:val="auto"/>
                <w:sz w:val="24"/>
                <w:highlight w:val="none"/>
              </w:rPr>
              <w:t xml:space="preserve">采购需求附件中对应产品技术要求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1张</w:t>
            </w:r>
            <w:r/>
          </w:p>
        </w:tc>
      </w:tr>
      <w:tr>
        <w:trPr>
          <w:jc w:val="cente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391</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电工工具箱（教师用）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jc w:val="left"/>
              <w:spacing w:line="560" w:lineRule="atLeast"/>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制作</w:t>
            </w:r>
            <w:r>
              <w:rPr>
                <w:rFonts w:cs="宋体" w:asciiTheme="minorEastAsia" w:hAnsiTheme="minorEastAsia" w:eastAsiaTheme="minorEastAsia"/>
                <w:color w:val="auto"/>
                <w:sz w:val="24"/>
                <w:highlight w:val="none"/>
              </w:rPr>
              <w:t xml:space="preserve">要求详见</w:t>
            </w:r>
            <w:r>
              <w:rPr>
                <w:rFonts w:hint="eastAsia" w:cs="宋体" w:asciiTheme="minorEastAsia" w:hAnsiTheme="minorEastAsia" w:eastAsiaTheme="minorEastAsia"/>
                <w:color w:val="auto"/>
                <w:sz w:val="24"/>
                <w:highlight w:val="none"/>
              </w:rPr>
              <w:t xml:space="preserve">采购需求附件中对应产品技术要求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1套</w:t>
            </w:r>
            <w:r/>
          </w:p>
        </w:tc>
      </w:tr>
      <w:tr>
        <w:trPr>
          <w:jc w:val="center"/>
          <w:trHeight w:val="814"/>
        </w:trPr>
        <w:tc>
          <w:tcPr>
            <w:tcBorders>
              <w:left w:val="single" w:color="808080" w:sz="8" w:space="0"/>
              <w:bottom w:val="single" w:color="808080" w:sz="8" w:space="0"/>
              <w:right w:val="single" w:color="808080" w:sz="8" w:space="0"/>
            </w:tcBorders>
            <w:tcMar>
              <w:left w:w="108" w:type="dxa"/>
              <w:top w:w="0" w:type="dxa"/>
              <w:right w:w="108" w:type="dxa"/>
              <w:bottom w:w="0" w:type="dxa"/>
            </w:tcMar>
            <w:tcW w:w="696"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461</w:t>
            </w:r>
            <w:r/>
          </w:p>
        </w:tc>
        <w:tc>
          <w:tcPr>
            <w:tcBorders>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智能试剂柜</w:t>
            </w:r>
            <w:r/>
          </w:p>
        </w:tc>
        <w:tc>
          <w:tcPr>
            <w:tcBorders>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widowControl/>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制作</w:t>
            </w:r>
            <w:r>
              <w:rPr>
                <w:rFonts w:cs="宋体" w:asciiTheme="minorEastAsia" w:hAnsiTheme="minorEastAsia" w:eastAsiaTheme="minorEastAsia"/>
                <w:color w:val="auto"/>
                <w:sz w:val="24"/>
                <w:highlight w:val="none"/>
              </w:rPr>
              <w:t xml:space="preserve">要求详见</w:t>
            </w:r>
            <w:r>
              <w:rPr>
                <w:rFonts w:hint="eastAsia" w:cs="宋体" w:asciiTheme="minorEastAsia" w:hAnsiTheme="minorEastAsia" w:eastAsiaTheme="minorEastAsia"/>
                <w:color w:val="auto"/>
                <w:sz w:val="24"/>
                <w:highlight w:val="none"/>
              </w:rPr>
              <w:t xml:space="preserve">采购需求附件中对应产品技术要求</w:t>
            </w:r>
            <w:r/>
          </w:p>
        </w:tc>
        <w:tc>
          <w:tcPr>
            <w:tcBorders>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1台</w:t>
            </w:r>
            <w:r/>
          </w:p>
        </w:tc>
      </w:tr>
      <w:tr>
        <w:trPr>
          <w:jc w:val="center"/>
          <w:trHeight w:val="814"/>
        </w:trPr>
        <w:tc>
          <w:tcPr>
            <w:tcBorders>
              <w:left w:val="single" w:color="808080" w:sz="8" w:space="0"/>
              <w:bottom w:val="single" w:color="808080" w:sz="8" w:space="0"/>
              <w:right w:val="single" w:color="808080" w:sz="8" w:space="0"/>
            </w:tcBorders>
            <w:tcMar>
              <w:left w:w="108" w:type="dxa"/>
              <w:top w:w="0" w:type="dxa"/>
              <w:right w:w="108" w:type="dxa"/>
              <w:bottom w:w="0" w:type="dxa"/>
            </w:tcMar>
            <w:tcW w:w="696"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671</w:t>
            </w:r>
            <w:r/>
          </w:p>
        </w:tc>
        <w:tc>
          <w:tcPr>
            <w:tcBorders>
              <w:bottom w:val="single" w:color="808080" w:sz="8" w:space="0"/>
              <w:right w:val="single" w:color="808080" w:sz="8" w:space="0"/>
            </w:tcBorders>
            <w:tcMar>
              <w:left w:w="108" w:type="dxa"/>
              <w:top w:w="0" w:type="dxa"/>
              <w:right w:w="108" w:type="dxa"/>
              <w:bottom w:w="0" w:type="dxa"/>
            </w:tcMar>
            <w:tcW w:w="2159"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数码液晶显微镜（学生机）</w:t>
            </w:r>
            <w:r/>
          </w:p>
        </w:tc>
        <w:tc>
          <w:tcPr>
            <w:tcBorders>
              <w:bottom w:val="single" w:color="808080" w:sz="8" w:space="0"/>
              <w:right w:val="single" w:color="808080" w:sz="8" w:space="0"/>
            </w:tcBorders>
            <w:tcMar>
              <w:left w:w="108" w:type="dxa"/>
              <w:top w:w="0" w:type="dxa"/>
              <w:right w:w="108" w:type="dxa"/>
              <w:bottom w:w="0" w:type="dxa"/>
            </w:tcMar>
            <w:tcW w:w="6003" w:type="dxa"/>
            <w:vAlign w:val="center"/>
            <w:textDirection w:val="lrTb"/>
            <w:noWrap/>
          </w:tcPr>
          <w:p>
            <w:pPr>
              <w:widowControl/>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制作</w:t>
            </w:r>
            <w:r>
              <w:rPr>
                <w:rFonts w:cs="宋体" w:asciiTheme="minorEastAsia" w:hAnsiTheme="minorEastAsia" w:eastAsiaTheme="minorEastAsia"/>
                <w:color w:val="auto"/>
                <w:sz w:val="24"/>
                <w:highlight w:val="none"/>
              </w:rPr>
              <w:t xml:space="preserve">要求详见</w:t>
            </w:r>
            <w:r>
              <w:rPr>
                <w:rFonts w:hint="eastAsia" w:cs="宋体" w:asciiTheme="minorEastAsia" w:hAnsiTheme="minorEastAsia" w:eastAsiaTheme="minorEastAsia"/>
                <w:color w:val="auto"/>
                <w:sz w:val="24"/>
                <w:highlight w:val="none"/>
              </w:rPr>
              <w:t xml:space="preserve">采购需求附件中对应产品技术要求</w:t>
            </w:r>
            <w:r/>
          </w:p>
        </w:tc>
        <w:tc>
          <w:tcPr>
            <w:tcBorders>
              <w:bottom w:val="single" w:color="808080" w:sz="8" w:space="0"/>
              <w:right w:val="single" w:color="808080" w:sz="8" w:space="0"/>
            </w:tcBorders>
            <w:tcMar>
              <w:left w:w="108" w:type="dxa"/>
              <w:top w:w="0" w:type="dxa"/>
              <w:right w:w="108" w:type="dxa"/>
              <w:bottom w:w="0" w:type="dxa"/>
            </w:tcMar>
            <w:tcW w:w="947" w:type="dxa"/>
            <w:vAlign w:val="center"/>
            <w:textDirection w:val="lrTb"/>
            <w:noWrap/>
          </w:tcPr>
          <w:p>
            <w:pPr>
              <w:jc w:val="center"/>
              <w:widowControl/>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1台</w:t>
            </w:r>
            <w:r/>
          </w:p>
        </w:tc>
      </w:tr>
    </w:tbl>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备注：未在规定时间内提交样品、样品提交不齐全的按无效投标处理。</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1、提供样品的时间：2026年</w:t>
      </w:r>
      <w:r>
        <w:rPr>
          <w:rFonts w:hint="eastAsia" w:cs="宋体" w:asciiTheme="minorEastAsia" w:hAnsiTheme="minorEastAsia" w:eastAsiaTheme="minorEastAsia"/>
          <w:color w:val="auto"/>
          <w:sz w:val="24"/>
          <w:highlight w:val="none"/>
          <w:lang w:val="en-US" w:eastAsia="zh-CN"/>
        </w:rPr>
        <w:t xml:space="preserve">08</w:t>
      </w:r>
      <w:r>
        <w:rPr>
          <w:rFonts w:hint="eastAsia" w:cs="宋体" w:asciiTheme="minorEastAsia" w:hAnsiTheme="minorEastAsia" w:eastAsiaTheme="minorEastAsia"/>
          <w:color w:val="auto"/>
          <w:sz w:val="24"/>
          <w:highlight w:val="none"/>
        </w:rPr>
        <w:t xml:space="preserve">月</w:t>
      </w:r>
      <w:r>
        <w:rPr>
          <w:rFonts w:hint="eastAsia" w:cs="宋体" w:asciiTheme="minorEastAsia" w:hAnsiTheme="minorEastAsia" w:eastAsiaTheme="minorEastAsia"/>
          <w:color w:val="auto"/>
          <w:sz w:val="24"/>
          <w:highlight w:val="none"/>
          <w:lang w:val="en-US" w:eastAsia="zh-CN"/>
        </w:rPr>
        <w:t xml:space="preserve">10</w:t>
      </w:r>
      <w:r>
        <w:rPr>
          <w:rFonts w:hint="eastAsia" w:cs="宋体" w:asciiTheme="minorEastAsia" w:hAnsiTheme="minorEastAsia" w:eastAsiaTheme="minorEastAsia"/>
          <w:color w:val="auto"/>
          <w:sz w:val="24"/>
          <w:highlight w:val="none"/>
        </w:rPr>
        <w:t xml:space="preserve">日【北京时间：1</w:t>
      </w:r>
      <w:r>
        <w:rPr>
          <w:rFonts w:hint="eastAsia" w:cs="宋体" w:asciiTheme="minorEastAsia" w:hAnsiTheme="minorEastAsia" w:eastAsiaTheme="minorEastAsia"/>
          <w:color w:val="auto"/>
          <w:sz w:val="24"/>
          <w:highlight w:val="none"/>
          <w:lang w:val="en-US" w:eastAsia="zh-CN"/>
        </w:rPr>
        <w:t xml:space="preserve">4</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eastAsiaTheme="minorEastAsia"/>
          <w:color w:val="auto"/>
          <w:sz w:val="24"/>
          <w:highlight w:val="none"/>
          <w:lang w:val="en-US" w:eastAsia="zh-CN"/>
        </w:rPr>
        <w:t xml:space="preserve">0</w:t>
      </w:r>
      <w:r>
        <w:rPr>
          <w:rFonts w:hint="eastAsia" w:cs="宋体" w:asciiTheme="minorEastAsia" w:hAnsiTheme="minorEastAsia" w:eastAsiaTheme="minorEastAsia"/>
          <w:color w:val="auto"/>
          <w:sz w:val="24"/>
          <w:highlight w:val="none"/>
        </w:rPr>
        <w:t xml:space="preserve">0 - 17:</w:t>
      </w:r>
      <w:r>
        <w:rPr>
          <w:rFonts w:hint="eastAsia" w:cs="宋体" w:asciiTheme="minorEastAsia" w:hAnsiTheme="minorEastAsia" w:eastAsiaTheme="minorEastAsia"/>
          <w:color w:val="auto"/>
          <w:sz w:val="24"/>
          <w:highlight w:val="none"/>
          <w:lang w:val="en-US" w:eastAsia="zh-CN"/>
        </w:rPr>
        <w:t xml:space="preserve">3</w:t>
      </w:r>
      <w:r>
        <w:rPr>
          <w:rFonts w:hint="eastAsia" w:cs="宋体" w:asciiTheme="minorEastAsia" w:hAnsiTheme="minorEastAsia" w:eastAsiaTheme="minorEastAsia"/>
          <w:color w:val="auto"/>
          <w:sz w:val="24"/>
          <w:highlight w:val="none"/>
        </w:rPr>
        <w:t xml:space="preserve">0】</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2、地点：江苏省句容市行政服务中心1号楼5楼样品室</w:t>
      </w:r>
      <w:r/>
    </w:p>
    <w:p>
      <w:pPr>
        <w:ind w:firstLine="480"/>
        <w:spacing w:line="360" w:lineRule="auto"/>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rPr>
        <w:t xml:space="preserve">3、联系人：</w:t>
      </w:r>
      <w:r>
        <w:rPr>
          <w:rFonts w:hint="eastAsia" w:cs="宋体" w:asciiTheme="minorEastAsia" w:hAnsiTheme="minorEastAsia" w:eastAsiaTheme="minorEastAsia"/>
          <w:color w:val="auto"/>
          <w:sz w:val="24"/>
          <w:highlight w:val="none"/>
          <w:lang w:val="en-US" w:eastAsia="zh-CN"/>
        </w:rPr>
        <w:t xml:space="preserve">高旭明        联系电话：0511-86131808</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注：1.请投标人在上述时间内提供样品并按规定位置安装完毕。超过截止时间的，采购人或采购代理机构将不予接收及安装，并将清场并封闭样品现场。</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2.在开标结束后，请供应商及时关注本项目中标结果，成交候选投供应商的样品将按照工作人员要求进行现场封存并送至采购方指定的地点；未进入成交候选供应商序列的当场退还。</w:t>
      </w:r>
      <w:r/>
    </w:p>
    <w:p>
      <w:pPr>
        <w:ind w:firstLine="48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3.制作、运输、安装和保管样品所发生的一切费用由投标人自理。</w:t>
      </w:r>
      <w:r/>
    </w:p>
    <w:p>
      <w:pPr>
        <w:ind w:firstLine="241"/>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4.演示内容及要求：</w:t>
      </w:r>
      <w:r/>
    </w:p>
    <w:p>
      <w:pPr>
        <w:ind w:firstLine="482"/>
        <w:spacing w:line="360" w:lineRule="auto"/>
        <w:rPr>
          <w:rFonts w:cs="宋体" w:asciiTheme="minorEastAsia" w:hAnsiTheme="minorEastAsia" w:eastAsiaTheme="minorEastAsia"/>
          <w:b/>
          <w:bCs/>
          <w:color w:val="auto"/>
          <w:sz w:val="24"/>
          <w:highlight w:val="none"/>
        </w:rPr>
        <w:outlineLvl w:val="0"/>
      </w:pPr>
      <w:r>
        <w:rPr>
          <w:rFonts w:hint="eastAsia" w:cs="宋体" w:asciiTheme="minorEastAsia" w:hAnsiTheme="minorEastAsia" w:eastAsiaTheme="minorEastAsia"/>
          <w:b/>
          <w:bCs/>
          <w:color w:val="auto"/>
          <w:sz w:val="24"/>
          <w:highlight w:val="none"/>
        </w:rPr>
        <w:t xml:space="preserve">1.演示要求</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本项目演示采用录播视频上传形式，演示必须是真实实景真人讲解环境，采用真实设备及系统进行演示，演示时间不超过45分钟。不接受PPT等</w:t>
      </w:r>
      <w:r>
        <w:rPr>
          <w:rFonts w:asciiTheme="minorEastAsia" w:hAnsiTheme="minorEastAsia" w:eastAsiaTheme="minorEastAsia"/>
          <w:color w:val="auto"/>
          <w:sz w:val="24"/>
          <w:highlight w:val="none"/>
        </w:rPr>
        <w:t xml:space="preserve">非真实系统</w:t>
      </w:r>
      <w:r>
        <w:rPr>
          <w:rFonts w:hint="eastAsia" w:asciiTheme="minorEastAsia" w:hAnsiTheme="minorEastAsia" w:eastAsiaTheme="minorEastAsia"/>
          <w:color w:val="auto"/>
          <w:sz w:val="24"/>
          <w:highlight w:val="none"/>
        </w:rPr>
        <w:t xml:space="preserve">形式演示。各投标人自行将录播内容上传至“苏采云”系统的演示视频模块。视频以压缩形式进行上传，单个视频上限50M，整体上限300M。视频材料须为针对本项目制作，视频内容中须表述项目名称、项目编号，否则不得分。</w:t>
      </w:r>
      <w:r/>
    </w:p>
    <w:p>
      <w:pPr>
        <w:ind w:firstLine="482"/>
        <w:spacing w:line="360" w:lineRule="auto"/>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2.演示内容：</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序号26、数字历史年鉴图</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检索：点击历史年鉴-检索，检索条件包括开始时间、结束时间、名称、国内外、事件分类、标签等；互动-填空模式：点击历史年鉴-互动-填空模式，可按隐藏类型(隐藏名称、隐藏时间)、隐藏方式(随机隐藏、隐藏全部、输入隐藏数量)、互动方式(点击显示隐藏的内容、点击输入内容)进行填空模式的互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2、互动-排序模式，点击历史年鉴-互动-排序模式，可选择隐藏时间、显示时间进行排序模式的操作；设置：点击历史年鉴-设置，可进行添加事件、编辑事件、删除事件、标签管理(添加标签、删除标签)；</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序号94、VR虚拟绘画一体机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1、支持用户同时操控2个VR手柄，VR手柄分别对应虚拟绘画场景中的3D绘画工具面板及3D画笔，VR绘画面板操作简单、易上手。</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2、支持用户在三维虚拟空间中自由移动行走，调整创作位置，用户既可以通过操控VR手柄完成移动行走，也支持用户在物理空间行走完成移动。</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序号95、AI心育自助服务系统</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1、运动放松调节：提供不少于4个运动放松调节课程教学视频，包括但不限于前后交叉小跳、原地慢跑、屈膝后侧拉伸等；</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支持数据对接：与云平台实现用户数据对接，可通过云平台入口为自助服务系统实现用户信息的录入、保存、删除、报告等管理功能。训练者完成不同的训练模块和量表测评会得到不同数据报告，其中训练报告分为训练数据，训练详情、训练表现、报告总结等模块；量表报告支持查看对应测评结果和说明内容，后台可支持导出报告或删除报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3、AI知识答疑：内置心理学知识应答模型，搭载智能语音交互，可对心理学相关问题给出清晰专业的解答，并推荐系统内匹配的学习视频资源。</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AI解梦：支持文字与语音双输入，通过智能心理算法对梦境内容进行系统化分析，输出包含核心情绪、潜意识解读、现实启示的参考结论，可通过填写问卷进行深度分析，并生成完整解读报告，报告涵盖梦境概要、象征意义、潜在心理风险、心理建议与引导方向等模块，同时支持历史解读记录查看。</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序号107、校园阅读</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1、阅读资源建设：利用本系统编辑器可以制作专属于学校自己的阅读资源，教师可依据个人资料的丰富程度及喜欢的风格进行个性化的设置，支持教师在建课程自动生成资源网站。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支持协调备课建设阅读资源，资源负责人可指派其他人作为具有同等或者小于本身资源建设管理权限的课程建设者共建同一门阅读资源，阅读研讨小组：支持用户在平台移动端，PC端创建阅读研讨工作小组，小组具有话题、资料模块；话题模块支持小组成员发帖、回帖、点赞、转发；资料模块支持小组管理员从收藏、笔记、云盘、电脑上传资料文件并建文件夹分类管理；小组成员可以查看、下载资料模块的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3、阅读环境建设：支持在线录音功能，录完的声音可以直接在线播放。</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阅读视频课程建设：只需要拖动视频播放的起始点、终止点，就可以将视频文件按照课程的要求剪辑成适当长度，教师还可手动输入时间点，进行视频在线虚拟剪辑，不破坏教师原有视频，同一视频可以重复多次使用进行不同时间段虚拟剪辑。支持知识点拓展阅读功能，可以根据一个关键词自动生成相关知识点的知识树，插入到课程单元中，并自动推送知识点相关的图书、期刊、论文等资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以上4项内容为保障用户操作的便捷性，需在同一平台运行，演示过程中不得出现账号切换；切换浏览器；切换网址等操作，否则视为演示不成功，该项不得分。</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序号152、探究凸透镜成像的规律AR增强实境实验套件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光具座滑块可以直接用手在光学导轨上移动，不需要解开锁扣、松开螺丝等额外操作。并且确认好位置后，光具座滑块也足够稳定，不会被风力、轻误碰等导致器材移动或晃动。既保证稳定，又实现操作方便。</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2、进行AR实验。AR中的各器材元素的位置、动画都与对应器材完全匹配。有虚拟讲解员（如机器人）逐步讲解实验的每步操作和要点，以及在后期进行规律总结。</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3、AR实验中展示光轴，光轴上凸透镜的1倍和2倍焦点位置；u＞2f、u=2f、f＜u＜2f、u＜f多种物距状态下的光路原理模拟线；必须至少区分：实物火焰、实像火焰、光斑、虚像火焰等状态的呈现。</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AR实验中能自由拖动物距，动画自动呈现任意时刻物距对应的成像位置及光路原理图，并且显示物距和像距的数值。物距可调范围依然需要包括：u＞2f、u=2f、f＜u＜2f、u=f、u＜f几种典型的情况，可以在AR软件中选择3D展示模型，脱离实验器材，仍然可以观看所有实验步骤。且此实验步骤完全与AR中的对应。</w:t>
      </w:r>
      <w:r/>
    </w:p>
    <w:p>
      <w:pPr>
        <w:ind w:firstLine="48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序号503、实验资源管理云平台</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提供产品功能展示：</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1、展示平台中的实验课程管理功能，包括实验课程计划、实验课预约管理（自动生成仪器清单）。</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2、展示实验课程资源，要求实验课程资源数量不少于500份。</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展示实验课程资源，要求内容丰富，包含教师页、学生页、报告页，以及详细的实验过程，展示仪器库和实验课程资源的关联性，要求可通过查询仪器自动查询该仪器可完成的实验目录；通过查询实验课程自动查询完成该实验的仪器清单。</w:t>
      </w:r>
      <w:r/>
    </w:p>
    <w:p>
      <w:pPr>
        <w:pStyle w:val="802"/>
        <w:ind w:left="0" w:firstLine="20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五、商务要求</w:t>
      </w:r>
      <w:r/>
    </w:p>
    <w:p>
      <w:pPr>
        <w:ind w:firstLine="482"/>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szCs w:val="28"/>
          <w:highlight w:val="none"/>
        </w:rPr>
        <w:t xml:space="preserve">★</w:t>
      </w:r>
      <w:r>
        <w:rPr>
          <w:rFonts w:hint="eastAsia" w:asciiTheme="minorEastAsia" w:hAnsiTheme="minorEastAsia" w:eastAsiaTheme="minorEastAsia"/>
          <w:b/>
          <w:color w:val="auto"/>
          <w:sz w:val="24"/>
          <w:highlight w:val="none"/>
        </w:rPr>
        <w:t xml:space="preserve">（一）完工期：</w:t>
      </w:r>
      <w:r>
        <w:rPr>
          <w:rFonts w:hint="eastAsia" w:cs="宋体" w:asciiTheme="minorEastAsia" w:hAnsiTheme="minorEastAsia" w:eastAsiaTheme="minorEastAsia"/>
          <w:color w:val="auto"/>
          <w:sz w:val="24"/>
          <w:highlight w:val="none"/>
        </w:rPr>
        <w:t xml:space="preserve">合同签订后20天内完成供货及安装。</w:t>
      </w:r>
      <w:r/>
    </w:p>
    <w:p>
      <w:pPr>
        <w:ind w:firstLine="482"/>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bCs/>
          <w:color w:val="auto"/>
          <w:sz w:val="24"/>
          <w:szCs w:val="28"/>
          <w:highlight w:val="none"/>
        </w:rPr>
        <w:t xml:space="preserve">★</w:t>
      </w:r>
      <w:r>
        <w:rPr>
          <w:rStyle w:val="2349"/>
          <w:rFonts w:hint="eastAsia" w:asciiTheme="minorEastAsia" w:hAnsiTheme="minorEastAsia" w:eastAsiaTheme="minorEastAsia"/>
          <w:color w:val="auto"/>
          <w:highlight w:val="none"/>
        </w:rPr>
        <w:t xml:space="preserve">（二）</w:t>
      </w:r>
      <w:r>
        <w:rPr>
          <w:rStyle w:val="2349"/>
          <w:rFonts w:asciiTheme="minorEastAsia" w:hAnsiTheme="minorEastAsia" w:eastAsiaTheme="minorEastAsia"/>
          <w:color w:val="auto"/>
          <w:highlight w:val="none"/>
        </w:rPr>
        <w:t xml:space="preserve">供货要求</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、中</w:t>
      </w:r>
      <w:r>
        <w:rPr>
          <w:rFonts w:asciiTheme="minorEastAsia" w:hAnsiTheme="minorEastAsia" w:eastAsiaTheme="minorEastAsia"/>
          <w:color w:val="auto"/>
          <w:sz w:val="24"/>
          <w:highlight w:val="none"/>
        </w:rPr>
        <w:t xml:space="preserve">标供应商签订合同前6天内</w:t>
      </w:r>
      <w:r>
        <w:rPr>
          <w:rFonts w:hint="eastAsia" w:asciiTheme="minorEastAsia" w:hAnsiTheme="minorEastAsia" w:eastAsiaTheme="minorEastAsia"/>
          <w:color w:val="auto"/>
          <w:sz w:val="24"/>
          <w:highlight w:val="none"/>
        </w:rPr>
        <w:t xml:space="preserve">提交检测报告等技术证明材料原件</w:t>
      </w:r>
      <w:r>
        <w:rPr>
          <w:rFonts w:asciiTheme="minorEastAsia" w:hAnsiTheme="minorEastAsia" w:eastAsiaTheme="minorEastAsia"/>
          <w:color w:val="auto"/>
          <w:sz w:val="24"/>
          <w:highlight w:val="none"/>
        </w:rPr>
        <w:t xml:space="preserve">让采购人</w:t>
      </w:r>
      <w:r>
        <w:rPr>
          <w:rFonts w:hint="eastAsia" w:asciiTheme="minorEastAsia" w:hAnsiTheme="minorEastAsia" w:eastAsiaTheme="minorEastAsia"/>
          <w:color w:val="auto"/>
          <w:sz w:val="24"/>
          <w:highlight w:val="none"/>
        </w:rPr>
        <w:t xml:space="preserve">核查</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核查</w:t>
      </w:r>
      <w:r>
        <w:rPr>
          <w:rFonts w:asciiTheme="minorEastAsia" w:hAnsiTheme="minorEastAsia" w:eastAsiaTheme="minorEastAsia"/>
          <w:color w:val="auto"/>
          <w:sz w:val="24"/>
          <w:highlight w:val="none"/>
        </w:rPr>
        <w:t xml:space="preserve">不合格的采购人将视其为虚假应标</w:t>
      </w:r>
      <w:r>
        <w:rPr>
          <w:rFonts w:hint="eastAsia" w:asciiTheme="minorEastAsia" w:hAnsiTheme="minorEastAsia" w:eastAsiaTheme="minorEastAsia"/>
          <w:color w:val="auto"/>
          <w:sz w:val="24"/>
          <w:highlight w:val="none"/>
        </w:rPr>
        <w:t xml:space="preserve">；同时提供序号62、中国立体地形模型；序号64、地质年代演化表互动系统；序号102、AI心理投射交互系统；序号117、智能数字实验盘；序号428、无线智能温度传感器；序号444、探究强酸与强碱的中和滴定AR实境增强实验套件；序号460、智能立式操作终端，供</w:t>
      </w:r>
      <w:r>
        <w:rPr>
          <w:rFonts w:asciiTheme="minorEastAsia" w:hAnsiTheme="minorEastAsia" w:eastAsiaTheme="minorEastAsia"/>
          <w:color w:val="auto"/>
          <w:sz w:val="24"/>
          <w:highlight w:val="none"/>
        </w:rPr>
        <w:t xml:space="preserve">采购人</w:t>
      </w:r>
      <w:r>
        <w:rPr>
          <w:rFonts w:hint="eastAsia" w:asciiTheme="minorEastAsia" w:hAnsiTheme="minorEastAsia" w:eastAsiaTheme="minorEastAsia"/>
          <w:color w:val="auto"/>
          <w:sz w:val="24"/>
          <w:highlight w:val="none"/>
        </w:rPr>
        <w:t xml:space="preserve">核验，核验合格</w:t>
      </w:r>
      <w:r>
        <w:rPr>
          <w:rFonts w:asciiTheme="minorEastAsia" w:hAnsiTheme="minorEastAsia" w:eastAsiaTheme="minorEastAsia"/>
          <w:color w:val="auto"/>
          <w:sz w:val="24"/>
          <w:highlight w:val="none"/>
        </w:rPr>
        <w:t xml:space="preserve">后方可整体供货</w:t>
      </w:r>
      <w:r>
        <w:rPr>
          <w:rFonts w:hint="eastAsia" w:asciiTheme="minorEastAsia" w:hAnsiTheme="minorEastAsia" w:eastAsiaTheme="minorEastAsia"/>
          <w:color w:val="auto"/>
          <w:sz w:val="24"/>
          <w:highlight w:val="none"/>
        </w:rPr>
        <w:t xml:space="preserve">。</w:t>
      </w:r>
      <w:r/>
    </w:p>
    <w:p>
      <w:pPr>
        <w:pStyle w:val="2345"/>
        <w:ind w:firstLine="567"/>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cs="宋体" w:asciiTheme="minorEastAsia" w:hAnsiTheme="minorEastAsia" w:eastAsiaTheme="minorEastAsia"/>
          <w:color w:val="auto"/>
          <w:highlight w:val="none"/>
        </w:rPr>
        <w:t xml:space="preserve">、供货商应保证所供货物是全新的，未使用过的</w:t>
      </w:r>
      <w:r>
        <w:rPr>
          <w:rFonts w:hint="eastAsia" w:cs="宋体" w:asciiTheme="minorEastAsia" w:hAnsiTheme="minorEastAsia" w:eastAsiaTheme="minorEastAsia"/>
          <w:color w:val="auto"/>
          <w:highlight w:val="none"/>
        </w:rPr>
        <w:t xml:space="preserve">原装合格产品</w:t>
      </w:r>
      <w:r>
        <w:rPr>
          <w:rFonts w:cs="宋体" w:asciiTheme="minorEastAsia" w:hAnsiTheme="minorEastAsia" w:eastAsiaTheme="minorEastAsia"/>
          <w:color w:val="auto"/>
          <w:highlight w:val="none"/>
        </w:rPr>
        <w:t xml:space="preserve">，并完全符合</w:t>
      </w:r>
      <w:r>
        <w:rPr>
          <w:rFonts w:hint="eastAsia" w:cs="宋体" w:asciiTheme="minorEastAsia" w:hAnsiTheme="minorEastAsia" w:eastAsiaTheme="minorEastAsia"/>
          <w:color w:val="auto"/>
          <w:highlight w:val="none"/>
        </w:rPr>
        <w:t xml:space="preserve">采购需求</w:t>
      </w:r>
      <w:r>
        <w:rPr>
          <w:rFonts w:cs="宋体" w:asciiTheme="minorEastAsia" w:hAnsiTheme="minorEastAsia" w:eastAsiaTheme="minorEastAsia"/>
          <w:color w:val="auto"/>
          <w:highlight w:val="none"/>
        </w:rPr>
        <w:t xml:space="preserve">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2345"/>
        <w:ind w:firstLine="567"/>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rPr>
          <w:rFonts w:cs="宋体" w:asciiTheme="minorEastAsia" w:hAnsiTheme="minorEastAsia" w:eastAsiaTheme="minorEastAsia"/>
          <w:color w:val="auto"/>
          <w:highlight w:val="none"/>
        </w:rPr>
        <w:t xml:space="preserve">、在货物到达使用单位后，供货方应</w:t>
      </w:r>
      <w:r>
        <w:rPr>
          <w:rFonts w:asciiTheme="minorEastAsia" w:hAnsiTheme="minorEastAsia" w:eastAsiaTheme="minorEastAsia"/>
          <w:color w:val="auto"/>
          <w:highlight w:val="none"/>
        </w:rPr>
        <w:t xml:space="preserve">2</w:t>
      </w:r>
      <w:r>
        <w:rPr>
          <w:rFonts w:cs="宋体" w:asciiTheme="minorEastAsia" w:hAnsiTheme="minorEastAsia" w:eastAsiaTheme="minorEastAsia"/>
          <w:color w:val="auto"/>
          <w:highlight w:val="none"/>
        </w:rPr>
        <w:t xml:space="preserve">个工作日内派工程师到达现场，在采购人技术人员在场的情况下开箱清点货物，组织安装、调试，并承担因此发生的一切费用。</w:t>
      </w:r>
      <w:r/>
    </w:p>
    <w:p>
      <w:pPr>
        <w:pStyle w:val="2345"/>
        <w:ind w:firstLine="567"/>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cs="宋体" w:asciiTheme="minorEastAsia" w:hAnsiTheme="minorEastAsia" w:eastAsiaTheme="minorEastAsia"/>
          <w:color w:val="auto"/>
          <w:highlight w:val="none"/>
        </w:rPr>
        <w:t xml:space="preserve">、供应商保证产品不存在因材质、设计、制造等问题所引起的缺陷，否则应无偿予以纠正；</w:t>
      </w:r>
      <w:r/>
    </w:p>
    <w:p>
      <w:pPr>
        <w:pStyle w:val="2345"/>
        <w:ind w:firstLine="567"/>
        <w:spacing w:line="360" w:lineRule="auto"/>
        <w:rPr>
          <w:rFonts w:cs="宋体"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cs="宋体" w:asciiTheme="minorEastAsia" w:hAnsiTheme="minorEastAsia" w:eastAsiaTheme="minorEastAsia"/>
          <w:color w:val="auto"/>
          <w:highlight w:val="none"/>
        </w:rPr>
        <w:t xml:space="preserve">、供应商提供的设备发生非人为因素严重故障时，应当免费在七日内将补充或者更换的货物运抵发生故障的货物所在地，由此产生的一切相关费用由供应商承担。</w:t>
      </w:r>
      <w:r/>
    </w:p>
    <w:p>
      <w:pPr>
        <w:pStyle w:val="2345"/>
        <w:ind w:firstLine="567"/>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6</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中标供应商负责设备安装、调试，确保正常运行。安装过程中发生的意外事故等由中标供应商负责，与采购人无关。</w:t>
      </w:r>
      <w:r/>
    </w:p>
    <w:p>
      <w:pPr>
        <w:pStyle w:val="2345"/>
        <w:ind w:firstLine="567"/>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7</w:t>
      </w:r>
      <w:r>
        <w:rPr>
          <w:rFonts w:hint="eastAsia" w:cs="宋体" w:asciiTheme="minorEastAsia" w:hAnsiTheme="minorEastAsia" w:eastAsiaTheme="minorEastAsia"/>
          <w:color w:val="auto"/>
          <w:highlight w:val="none"/>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2345"/>
        <w:ind w:firstLine="200"/>
        <w:spacing w:before="240" w:after="240" w:line="360" w:lineRule="auto"/>
        <w:rPr>
          <w:rFonts w:asciiTheme="minorEastAsia" w:hAnsiTheme="minorEastAsia" w:eastAsiaTheme="minorEastAsia"/>
          <w:color w:val="auto"/>
          <w:highlight w:val="none"/>
        </w:rPr>
      </w:pPr>
      <w:r>
        <w:rPr>
          <w:rFonts w:hint="eastAsia" w:asciiTheme="minorEastAsia" w:hAnsiTheme="minorEastAsia" w:eastAsiaTheme="minorEastAsia"/>
          <w:b/>
          <w:bCs/>
          <w:color w:val="auto"/>
          <w:szCs w:val="28"/>
          <w:highlight w:val="none"/>
        </w:rPr>
        <w:t xml:space="preserve">★</w:t>
      </w:r>
      <w:r>
        <w:rPr>
          <w:rStyle w:val="2349"/>
          <w:rFonts w:hint="eastAsia" w:asciiTheme="minorEastAsia" w:hAnsiTheme="minorEastAsia" w:eastAsiaTheme="minorEastAsia"/>
          <w:color w:val="auto"/>
          <w:highlight w:val="none"/>
        </w:rPr>
        <w:t xml:space="preserve">（四）</w:t>
      </w:r>
      <w:r>
        <w:rPr>
          <w:rStyle w:val="2349"/>
          <w:rFonts w:asciiTheme="minorEastAsia" w:hAnsiTheme="minorEastAsia" w:eastAsiaTheme="minorEastAsia"/>
          <w:color w:val="auto"/>
          <w:highlight w:val="none"/>
        </w:rPr>
        <w:t xml:space="preserve">质保要求</w:t>
      </w:r>
      <w:r/>
    </w:p>
    <w:p>
      <w:pPr>
        <w:pStyle w:val="2345"/>
        <w:ind w:firstLine="426"/>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rPr>
          <w:rFonts w:cs="宋体" w:asciiTheme="minorEastAsia" w:hAnsiTheme="minorEastAsia" w:eastAsiaTheme="minorEastAsia"/>
          <w:color w:val="auto"/>
          <w:highlight w:val="none"/>
        </w:rPr>
        <w:t xml:space="preserve">、质保期：</w:t>
      </w:r>
      <w:r>
        <w:rPr>
          <w:rFonts w:hint="eastAsia" w:asciiTheme="minorEastAsia" w:hAnsiTheme="minorEastAsia" w:eastAsiaTheme="minorEastAsia"/>
          <w:color w:val="auto"/>
          <w:highlight w:val="none"/>
        </w:rPr>
        <w:t xml:space="preserve">1</w:t>
      </w:r>
      <w:r>
        <w:rPr>
          <w:rFonts w:cs="宋体" w:asciiTheme="minorEastAsia" w:hAnsiTheme="minorEastAsia" w:eastAsiaTheme="minorEastAsia"/>
          <w:color w:val="auto"/>
          <w:highlight w:val="none"/>
        </w:rPr>
        <w:t xml:space="preserve">年免费质保。（自验收合格之日起算）</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2345"/>
        <w:ind w:firstLine="426"/>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cs="宋体" w:asciiTheme="minorEastAsia" w:hAnsiTheme="minorEastAsia" w:eastAsiaTheme="minorEastAsia"/>
          <w:color w:val="auto"/>
          <w:highlight w:val="none"/>
        </w:rPr>
        <w:t xml:space="preserve">、质保期内所有因更换或修理货物或部件而导致停止运行的时间应从其质保期内扣除；供货方在质保期内安装的任何零配件，必须是其投标设备生产制造厂商原产的或是经其认可的。</w:t>
      </w:r>
      <w:r/>
    </w:p>
    <w:p>
      <w:pPr>
        <w:pStyle w:val="2345"/>
        <w:ind w:firstLine="426"/>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rPr>
          <w:rFonts w:cs="宋体" w:asciiTheme="minorEastAsia" w:hAnsiTheme="minorEastAsia" w:eastAsiaTheme="minorEastAsia"/>
          <w:color w:val="auto"/>
          <w:highlight w:val="none"/>
        </w:rPr>
        <w:t xml:space="preserve">、在质保期内，供货方有责任解决所销售设备和软件系统的任何问题。</w:t>
      </w:r>
      <w:r/>
    </w:p>
    <w:p>
      <w:pPr>
        <w:pStyle w:val="2345"/>
        <w:ind w:firstLine="426"/>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cs="宋体" w:asciiTheme="minorEastAsia" w:hAnsiTheme="minorEastAsia" w:eastAsiaTheme="minorEastAsia"/>
          <w:color w:val="auto"/>
          <w:highlight w:val="none"/>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2345"/>
        <w:ind w:firstLine="426"/>
        <w:spacing w:line="360" w:lineRule="auto"/>
        <w:rPr>
          <w:rFonts w:cs="宋体"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cs="宋体" w:asciiTheme="minorEastAsia" w:hAnsiTheme="minorEastAsia" w:eastAsiaTheme="minorEastAsia"/>
          <w:color w:val="auto"/>
          <w:highlight w:val="none"/>
        </w:rPr>
        <w:t xml:space="preserve">、质保期满后，每年定期上门免费维护至少</w:t>
      </w:r>
      <w:r>
        <w:rPr>
          <w:rFonts w:asciiTheme="minorEastAsia" w:hAnsiTheme="minorEastAsia" w:eastAsiaTheme="minorEastAsia"/>
          <w:color w:val="auto"/>
          <w:highlight w:val="none"/>
        </w:rPr>
        <w:t xml:space="preserve">1</w:t>
      </w:r>
      <w:r>
        <w:rPr>
          <w:rFonts w:cs="宋体" w:asciiTheme="minorEastAsia" w:hAnsiTheme="minorEastAsia" w:eastAsiaTheme="minorEastAsia"/>
          <w:color w:val="auto"/>
          <w:highlight w:val="none"/>
        </w:rPr>
        <w:t xml:space="preserve">次。</w:t>
      </w:r>
      <w:r/>
    </w:p>
    <w:p>
      <w:pPr>
        <w:pStyle w:val="2345"/>
        <w:ind w:firstLine="200"/>
        <w:spacing w:before="240" w:after="240" w:line="360" w:lineRule="auto"/>
        <w:rPr>
          <w:rFonts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w:t>
      </w:r>
      <w:r>
        <w:rPr>
          <w:rStyle w:val="2349"/>
          <w:rFonts w:hint="eastAsia" w:asciiTheme="minorEastAsia" w:hAnsiTheme="minorEastAsia" w:eastAsiaTheme="minorEastAsia"/>
          <w:color w:val="auto"/>
          <w:highlight w:val="none"/>
        </w:rPr>
        <w:t xml:space="preserve">（五）</w:t>
      </w:r>
      <w:r>
        <w:rPr>
          <w:rStyle w:val="2349"/>
          <w:rFonts w:asciiTheme="minorEastAsia" w:hAnsiTheme="minorEastAsia" w:eastAsiaTheme="minorEastAsia"/>
          <w:color w:val="auto"/>
          <w:highlight w:val="none"/>
        </w:rPr>
        <w:t xml:space="preserve">验收要求</w:t>
      </w:r>
      <w:r/>
    </w:p>
    <w:p>
      <w:pPr>
        <w:pStyle w:val="2345"/>
        <w:ind w:firstLine="426"/>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1、供应商负责设备</w:t>
      </w:r>
      <w:r>
        <w:rPr>
          <w:rFonts w:hint="eastAsia" w:cs="宋体" w:asciiTheme="minorEastAsia" w:hAnsiTheme="minorEastAsia" w:eastAsiaTheme="minorEastAsia"/>
          <w:color w:val="auto"/>
          <w:highlight w:val="none"/>
        </w:rPr>
        <w:t xml:space="preserve">供货、</w:t>
      </w:r>
      <w:r>
        <w:rPr>
          <w:rFonts w:cs="宋体" w:asciiTheme="minorEastAsia" w:hAnsiTheme="minorEastAsia" w:eastAsiaTheme="minorEastAsia"/>
          <w:color w:val="auto"/>
          <w:highlight w:val="none"/>
        </w:rPr>
        <w:t xml:space="preserve">安装、调试，</w:t>
      </w:r>
      <w:r>
        <w:rPr>
          <w:rFonts w:hint="eastAsia" w:cs="宋体" w:asciiTheme="minorEastAsia" w:hAnsiTheme="minorEastAsia" w:eastAsiaTheme="minorEastAsia"/>
          <w:color w:val="auto"/>
          <w:highlight w:val="none"/>
        </w:rPr>
        <w:t xml:space="preserve">并</w:t>
      </w:r>
      <w:r>
        <w:rPr>
          <w:rFonts w:cs="宋体" w:asciiTheme="minorEastAsia" w:hAnsiTheme="minorEastAsia" w:eastAsiaTheme="minorEastAsia"/>
          <w:color w:val="auto"/>
          <w:highlight w:val="none"/>
        </w:rPr>
        <w:t xml:space="preserve">确保</w:t>
      </w:r>
      <w:r>
        <w:rPr>
          <w:rFonts w:hint="eastAsia" w:cs="宋体" w:asciiTheme="minorEastAsia" w:hAnsiTheme="minorEastAsia" w:eastAsiaTheme="minorEastAsia"/>
          <w:color w:val="auto"/>
          <w:highlight w:val="none"/>
        </w:rPr>
        <w:t xml:space="preserve">所有产品能</w:t>
      </w:r>
      <w:r>
        <w:rPr>
          <w:rFonts w:cs="宋体" w:asciiTheme="minorEastAsia" w:hAnsiTheme="minorEastAsia" w:eastAsiaTheme="minorEastAsia"/>
          <w:color w:val="auto"/>
          <w:highlight w:val="none"/>
        </w:rPr>
        <w:t xml:space="preserve">正常运行</w:t>
      </w:r>
      <w:r>
        <w:rPr>
          <w:rFonts w:hint="eastAsia" w:cs="宋体" w:asciiTheme="minorEastAsia" w:hAnsiTheme="minorEastAsia" w:eastAsiaTheme="minorEastAsia"/>
          <w:color w:val="auto"/>
          <w:highlight w:val="none"/>
        </w:rPr>
        <w:t xml:space="preserve">、使用</w:t>
      </w:r>
      <w:r>
        <w:rPr>
          <w:rFonts w:cs="宋体" w:asciiTheme="minorEastAsia" w:hAnsiTheme="minorEastAsia" w:eastAsiaTheme="minorEastAsia"/>
          <w:color w:val="auto"/>
          <w:highlight w:val="none"/>
        </w:rPr>
        <w:t xml:space="preserve">。</w:t>
      </w:r>
      <w:r/>
    </w:p>
    <w:p>
      <w:pPr>
        <w:pStyle w:val="2345"/>
        <w:ind w:firstLine="426"/>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2、设备安装调试后一个月内进行验收。设备安装后供应商应向采购人提供详细的验收材料。</w:t>
      </w:r>
      <w:r/>
    </w:p>
    <w:p>
      <w:pPr>
        <w:pStyle w:val="2345"/>
        <w:ind w:firstLine="426"/>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3</w:t>
      </w:r>
      <w:r>
        <w:rPr>
          <w:rFonts w:cs="宋体" w:asciiTheme="minorEastAsia" w:hAnsiTheme="minorEastAsia" w:eastAsiaTheme="minorEastAsia"/>
          <w:color w:val="auto"/>
          <w:highlight w:val="none"/>
        </w:rPr>
        <w:t xml:space="preserve">、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2345"/>
        <w:ind w:firstLine="426"/>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4</w:t>
      </w:r>
      <w:r>
        <w:rPr>
          <w:rFonts w:cs="宋体" w:asciiTheme="minorEastAsia" w:hAnsiTheme="minorEastAsia" w:eastAsiaTheme="minorEastAsia"/>
          <w:color w:val="auto"/>
          <w:highlight w:val="none"/>
        </w:rPr>
        <w:t xml:space="preserve">、验收过程中采购人如发现货物短缺、质次、损坏、与招标文件及质量要求和标准、产地和规格等不符合问题，由供应商立即无条件调换或补齐，同时由供应商承担因此而产生的工期延误等所造成的一切损失。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2345"/>
        <w:ind w:firstLine="200"/>
        <w:spacing w:before="3" w:line="360" w:lineRule="auto"/>
        <w:rPr>
          <w:rFonts w:asciiTheme="minorEastAsia" w:hAnsiTheme="minorEastAsia" w:eastAsiaTheme="minorEastAsia"/>
          <w:b/>
          <w:color w:val="auto"/>
          <w:highlight w:val="none"/>
        </w:rPr>
      </w:pPr>
      <w:r>
        <w:rPr>
          <w:rFonts w:hint="eastAsia" w:cs="宋体" w:asciiTheme="minorEastAsia" w:hAnsiTheme="minorEastAsia" w:eastAsiaTheme="minorEastAsia"/>
          <w:b/>
          <w:color w:val="auto"/>
          <w:highlight w:val="none"/>
        </w:rPr>
        <w:t xml:space="preserve">（六）付款方式</w:t>
      </w:r>
      <w:r>
        <w:rPr>
          <w:rFonts w:cs="宋体" w:asciiTheme="minorEastAsia" w:hAnsiTheme="minorEastAsia" w:eastAsiaTheme="minorEastAsia"/>
          <w:b/>
          <w:color w:val="auto"/>
          <w:highlight w:val="none"/>
        </w:rPr>
        <w:t xml:space="preserve">：</w:t>
      </w:r>
      <w:r/>
    </w:p>
    <w:p>
      <w:pPr>
        <w:pStyle w:val="2345"/>
        <w:ind w:firstLine="426"/>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合同签订之日起30日内，甲方支付合同总价30%预付款；货物进场后，甲方付款至合同总价80%，经甲方组织验收合格后，一周内支付剩余20%款项。</w:t>
      </w:r>
      <w:r/>
    </w:p>
    <w:p>
      <w:pPr>
        <w:pStyle w:val="2345"/>
        <w:ind w:firstLine="426"/>
        <w:spacing w:line="360" w:lineRule="auto"/>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注：满足合同约定支付条件的，采购人收到供应商发票后10个工作日内，将资金支付到合同约定的供应商账户。采购人向中标供应商每次付款时，中标供应商需提供国家正规等额发票。</w:t>
      </w:r>
      <w:r/>
    </w:p>
    <w:p>
      <w:pPr>
        <w:spacing w:line="360" w:lineRule="auto"/>
        <w:rPr>
          <w:rFonts w:asciiTheme="minorEastAsia" w:hAnsiTheme="minorEastAsia" w:eastAsiaTheme="minorEastAsia"/>
          <w:b/>
          <w:color w:val="auto"/>
          <w:sz w:val="30"/>
          <w:highlight w:val="none"/>
        </w:rPr>
      </w:pPr>
      <w:r>
        <w:rPr>
          <w:rFonts w:asciiTheme="minorEastAsia" w:hAnsiTheme="minorEastAsia" w:eastAsiaTheme="minorEastAsia"/>
          <w:b/>
          <w:color w:val="auto"/>
          <w:sz w:val="30"/>
          <w:highlight w:val="none"/>
        </w:rPr>
      </w:r>
      <w:r/>
    </w:p>
    <w:p>
      <w:pPr>
        <w:rPr>
          <w:rFonts w:asciiTheme="minorEastAsia" w:hAnsiTheme="minorEastAsia" w:eastAsiaTheme="minorEastAsia"/>
          <w:b/>
          <w:color w:val="auto"/>
          <w:sz w:val="30"/>
          <w:highlight w:val="none"/>
        </w:rPr>
      </w:pPr>
      <w:r>
        <w:rPr>
          <w:rFonts w:asciiTheme="minorEastAsia" w:hAnsiTheme="minorEastAsia" w:eastAsiaTheme="minorEastAsia"/>
          <w:b/>
          <w:color w:val="auto"/>
          <w:sz w:val="30"/>
          <w:highlight w:val="none"/>
        </w:rPr>
      </w:r>
      <w:r/>
    </w:p>
    <w:p>
      <w:pPr>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br w:type="page" w:clear="all"/>
      </w:r>
      <w:r/>
    </w:p>
    <w:p>
      <w:pPr>
        <w:jc w:val="center"/>
        <w:spacing w:line="360" w:lineRule="auto"/>
        <w:rPr>
          <w:rFonts w:asciiTheme="minorEastAsia" w:hAnsiTheme="minorEastAsia" w:eastAsiaTheme="minorEastAsia"/>
          <w:b/>
          <w:bCs/>
          <w:color w:val="auto"/>
          <w:sz w:val="30"/>
          <w:szCs w:val="30"/>
          <w:highlight w:val="none"/>
        </w:rPr>
      </w:pPr>
      <w:r>
        <w:rPr>
          <w:rFonts w:hint="eastAsia" w:asciiTheme="minorEastAsia" w:hAnsiTheme="minorEastAsia" w:eastAsiaTheme="minorEastAsia"/>
          <w:b/>
          <w:color w:val="auto"/>
          <w:sz w:val="30"/>
          <w:highlight w:val="none"/>
        </w:rPr>
        <w:t xml:space="preserve">第五部分    </w:t>
      </w:r>
      <w:bookmarkStart w:id="234" w:name="_Toc98669372"/>
      <w:r/>
      <w:bookmarkStart w:id="235" w:name="_Toc98669730"/>
      <w:r/>
      <w:bookmarkStart w:id="236" w:name="_Toc20821546"/>
      <w:r/>
      <w:bookmarkStart w:id="237" w:name="_Toc76955302"/>
      <w:r/>
      <w:bookmarkStart w:id="238" w:name="_Toc100386076"/>
      <w:r>
        <w:rPr>
          <w:rFonts w:hint="eastAsia" w:asciiTheme="minorEastAsia" w:hAnsiTheme="minorEastAsia" w:eastAsiaTheme="minorEastAsia"/>
          <w:b/>
          <w:color w:val="auto"/>
          <w:sz w:val="30"/>
          <w:highlight w:val="none"/>
        </w:rPr>
        <w:t xml:space="preserve">评标办法和标准</w:t>
      </w:r>
      <w:r/>
    </w:p>
    <w:p>
      <w:pPr>
        <w:pStyle w:val="756"/>
        <w:ind w:firstLine="446"/>
        <w:keepLines w:val="0"/>
        <w:keepNext w:val="0"/>
        <w:spacing w:before="200" w:after="200" w:line="360" w:lineRule="auto"/>
        <w:rPr>
          <w:rFonts w:asciiTheme="minorEastAsia" w:hAnsiTheme="minorEastAsia" w:eastAsiaTheme="minorEastAsia"/>
          <w:color w:val="auto"/>
          <w:sz w:val="30"/>
          <w:highlight w:val="none"/>
          <w:lang w:eastAsia="zh-CN"/>
        </w:rPr>
      </w:pPr>
      <w:r>
        <w:rPr>
          <w:rFonts w:hint="eastAsia" w:asciiTheme="minorEastAsia" w:hAnsiTheme="minorEastAsia" w:eastAsiaTheme="minorEastAsia"/>
          <w:color w:val="auto"/>
          <w:sz w:val="30"/>
          <w:highlight w:val="none"/>
          <w:lang w:eastAsia="zh-CN"/>
        </w:rPr>
        <w:t xml:space="preserve">1.采购代理机构职责</w:t>
      </w:r>
      <w:r/>
    </w:p>
    <w:p>
      <w:pPr>
        <w:pStyle w:val="766"/>
        <w:ind w:firstLine="48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1.1 采购代理机构负责组织评标工作，并履行下列职责：</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（2）宣布评标纪律；</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（3）公布投标人名单，告知评审专家应当回避的情形；</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（4）组织评标委员会推选评标组长，采购人代表不得担任组长；</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（5）在评标期间采取必要的通讯管理措施，保证评标活动不受外界干扰；</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（6）根据评标委员会的要求介绍政府采购相关政策法规、招标文件；</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（9）评审工作完成后，按照规定向评审专家支付劳务报酬和异地评审差旅费，不得向评审专家以外的其他人员支付评审劳务报酬；</w:t>
      </w:r>
      <w:r/>
    </w:p>
    <w:p>
      <w:pPr>
        <w:pStyle w:val="766"/>
        <w:ind w:firstLine="360"/>
        <w:spacing w:line="360" w:lineRule="auto"/>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（10）处理与评标有关的其他事项。</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2.评标委员会职责</w:t>
      </w:r>
      <w:r/>
    </w:p>
    <w:p>
      <w:pPr>
        <w:pStyle w:val="756"/>
        <w:ind w:firstLine="480"/>
        <w:keepLines w:val="0"/>
        <w:keepNext w:val="0"/>
        <w:spacing w:before="0" w:after="0" w:line="360" w:lineRule="auto"/>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val="0"/>
          <w:color w:val="auto"/>
          <w:sz w:val="24"/>
          <w:szCs w:val="24"/>
          <w:highlight w:val="none"/>
          <w:lang w:eastAsia="zh-CN"/>
        </w:rPr>
        <w:t xml:space="preserve">2.1 评标委员会负责具体评标事务，并独立履行下列职责：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（1）审查、评价投标文件是否符合招标文件的商务、技术等实质性要求；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（2）要求投标人对投标文件有关事项作出澄清或者说明；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（3）对投标文件进行比较和评价；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（4）确定中标候选人名单，以及根据采购人委托直接确定中标人；  </w:t>
      </w:r>
      <w:r/>
    </w:p>
    <w:p>
      <w:pPr>
        <w:ind w:firstLine="42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（5）向采购人、采购代理机构或者有关部门报告评标中发现的违法行为。</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3.评标注意事项</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color w:val="auto"/>
          <w:sz w:val="24"/>
          <w:highlight w:val="none"/>
        </w:rPr>
        <w:t xml:space="preserve">3.2</w:t>
      </w:r>
      <w:r>
        <w:rPr>
          <w:rFonts w:hint="eastAsia" w:asciiTheme="minorEastAsia" w:hAnsiTheme="minorEastAsia" w:eastAsiaTheme="minorEastAsia"/>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根据《关于推动解决政府采购异常低价问题的通知》（财库〔2026〕2号），采购人明确评审委员会启动异常低价投标（响应）审查的情形和具体要求，包括：</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（一）政府采购评审中出现下列情形之一的，评审委员会应当启动异常低价投标（响应）审查程序：</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（3）投标（响应）报价低于采购项目最高限价45%的，即投标（响应）报价&lt;采购项目最高限价×45%；</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（4）评审委员会基于专业判断，认为供应商报价过低，有可能影响产品质量或者不能诚信履约的其他情形。</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 w:firstLine="480"/>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3.5评标委员会及其成员不得有下列行为：</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（1）确定参与评标至评标结束前私自接触投标人；</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（3）违反评标纪律发表倾向性意见或者征询采购人的倾向性意见；</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（4）对需要专业判断的主观评审因素协商评分；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（5）在评标过程中擅离职守，影响评标程序正常进行；</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（6）记录、复制或者带走任何评标资料；</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（7）其他不遵守评标纪律的行为。</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4.评标过程的保密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4.3</w:t>
      </w:r>
      <w:r>
        <w:rPr>
          <w:rFonts w:hint="eastAsia" w:asciiTheme="minorEastAsia" w:hAnsiTheme="minorEastAsia" w:eastAsiaTheme="minorEastAsia"/>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5.报价前后不一致的处理原则</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5.1投标文件报价出现前后不一致的，按照下列规定修正：</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（1）投标文件中开标一览表内容与投标文件中相应内容不一致的，以开标一览表为准；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（2）大写金额和小写金额不一致的，以大写金额为准；</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（3）单价金额小数点或者百分比有明显错位的，以开标一览表的总价为准，并修改单价；</w:t>
      </w:r>
      <w:r/>
    </w:p>
    <w:p>
      <w:pPr>
        <w:ind w:left="1"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（4）总价金额与按单价汇总金额不一致的，以单价金额计算结果为准。</w:t>
      </w:r>
      <w:r/>
    </w:p>
    <w:p>
      <w:pPr>
        <w:ind w:left="1" w:firstLine="482"/>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 xml:space="preserve">同时出现两种以上不一致的，按上述规定排序在先的原则进行修正</w:t>
      </w:r>
      <w:r>
        <w:rPr>
          <w:rFonts w:hint="eastAsia" w:asciiTheme="minorEastAsia" w:hAnsiTheme="minorEastAsia" w:eastAsiaTheme="minorEastAsia"/>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 xml:space="preserve">6.投标人资格审查</w:t>
      </w:r>
      <w:r/>
    </w:p>
    <w:p>
      <w:pPr>
        <w:ind w:firstLine="480"/>
        <w:jc w:val="left"/>
        <w:spacing w:line="360" w:lineRule="auto"/>
        <w:widowControl/>
        <w:rPr>
          <w:rFonts w:asciiTheme="minorEastAsia" w:hAnsiTheme="minorEastAsia" w:eastAsiaTheme="minorEastAsia"/>
          <w:color w:val="auto"/>
          <w:sz w:val="24"/>
          <w:highlight w:val="none"/>
        </w:rPr>
      </w:pPr>
      <w:r>
        <w:rPr>
          <w:rFonts w:cs="Wingding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6.1 采用资格后审方式</w:t>
      </w:r>
      <w:r/>
    </w:p>
    <w:p>
      <w:pPr>
        <w:ind w:firstLine="480"/>
        <w:jc w:val="left"/>
        <w:spacing w:line="360" w:lineRule="auto"/>
        <w:widowControl/>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开标结束后，采购人或代理机构将依法对投标人的资格进行审查。资格审查的内容如下：</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2956"/>
        <w:gridCol w:w="6119"/>
      </w:tblGrid>
      <w:tr>
        <w:trPr/>
        <w:tc>
          <w:tcPr>
            <w:tcW w:w="554"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序号</w:t>
            </w:r>
            <w:r/>
          </w:p>
        </w:tc>
        <w:tc>
          <w:tcPr>
            <w:tcW w:w="2956" w:type="dxa"/>
            <w:vAlign w:val="center"/>
            <w:textDirection w:val="lrTb"/>
            <w:noWrap/>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审查要素</w:t>
            </w:r>
            <w:r/>
          </w:p>
        </w:tc>
        <w:tc>
          <w:tcPr>
            <w:tcW w:w="6119"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审查内容</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1</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具有独立承担民事责任的能力</w:t>
            </w:r>
            <w:r/>
          </w:p>
        </w:tc>
        <w:tc>
          <w:tcPr>
            <w:tcW w:w="6119" w:type="dxa"/>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8"/>
                <w:highlight w:val="none"/>
              </w:rPr>
              <w:t xml:space="preserve">法人或者其他组织的营业执照等证明文件；自然人的身份证。</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2</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具有良好的商业信誉和健全的财务会计制度</w:t>
            </w:r>
            <w:r/>
          </w:p>
        </w:tc>
        <w:tc>
          <w:tcPr>
            <w:tcW w:w="6119" w:type="dxa"/>
            <w:vAlign w:val="center"/>
            <w:textDirection w:val="lrTb"/>
            <w:noWrap/>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lang w:val="en-US" w:eastAsia="zh-CN"/>
              </w:rPr>
              <w:t xml:space="preserve">提供</w:t>
            </w:r>
            <w:r>
              <w:rPr>
                <w:rFonts w:hint="eastAsia" w:asciiTheme="minorEastAsia" w:hAnsiTheme="minorEastAsia" w:eastAsiaTheme="minorEastAsia"/>
                <w:color w:val="auto"/>
                <w:sz w:val="24"/>
                <w:highlight w:val="none"/>
              </w:rPr>
              <w:t xml:space="preserve">2025年度财务报告（成立不满一年的提供至少一个月），或银行出具的资信证明，或财政部门认可的政府采购专业担保机构出具的投标担保函等或资格承诺函。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3</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具有履行合同所必需的设备和专业技术能力</w:t>
            </w:r>
            <w:r/>
          </w:p>
        </w:tc>
        <w:tc>
          <w:tcPr>
            <w:tcW w:w="611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4</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有依法缴纳税收和社会保障资金的良好记录</w:t>
            </w:r>
            <w:r/>
          </w:p>
        </w:tc>
        <w:tc>
          <w:tcPr>
            <w:tcW w:w="611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5</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参加政府采购活动前三年内，在经营活动中没有重大违法记录</w:t>
            </w:r>
            <w:r/>
          </w:p>
        </w:tc>
        <w:tc>
          <w:tcPr>
            <w:tcW w:w="6119" w:type="dxa"/>
            <w:vAlign w:val="center"/>
            <w:textDirection w:val="lrTb"/>
            <w:noWrap/>
          </w:tcPr>
          <w:p>
            <w:pPr>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highlight w:val="none"/>
              </w:rPr>
              <w:t xml:space="preserve">（1）投标函或资格承诺函。</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法律、行政法规规定的其他条件</w:t>
            </w:r>
            <w:r/>
          </w:p>
        </w:tc>
        <w:tc>
          <w:tcPr>
            <w:tcW w:w="611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无</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落实政府采购政策需满足的资格要求</w:t>
            </w:r>
            <w:r/>
          </w:p>
        </w:tc>
        <w:tc>
          <w:tcPr>
            <w:tcW w:w="6119" w:type="dxa"/>
            <w:vAlign w:val="center"/>
            <w:textDirection w:val="lrTb"/>
            <w:noWrap/>
          </w:tcPr>
          <w:p>
            <w:pPr>
              <w:spacing w:line="360" w:lineRule="auto"/>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val="en-US" w:eastAsia="zh-CN"/>
              </w:rPr>
              <w:t xml:space="preserve">无</w:t>
            </w:r>
            <w:r/>
          </w:p>
        </w:tc>
      </w:tr>
      <w:tr>
        <w:trPr/>
        <w:tc>
          <w:tcPr>
            <w:tcW w:w="554"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w:t>
            </w:r>
            <w:r/>
          </w:p>
        </w:tc>
        <w:tc>
          <w:tcPr>
            <w:tcW w:w="2956"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本项目的特定资格要求</w:t>
            </w:r>
            <w:r/>
          </w:p>
        </w:tc>
        <w:tc>
          <w:tcPr>
            <w:tcW w:w="611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无</w:t>
            </w:r>
            <w:r/>
          </w:p>
        </w:tc>
      </w:tr>
    </w:tbl>
    <w:p>
      <w:pPr>
        <w:ind w:firstLine="446"/>
        <w:jc w:val="left"/>
        <w:spacing w:before="200" w:after="200" w:line="360" w:lineRule="auto"/>
        <w:widowControl/>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 xml:space="preserve">7.投标人符合性审查</w:t>
      </w:r>
      <w:r/>
    </w:p>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序号</w:t>
            </w:r>
            <w:r/>
          </w:p>
        </w:tc>
        <w:tc>
          <w:tcPr>
            <w:tcW w:w="3218"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审查要素</w:t>
            </w:r>
            <w:r/>
          </w:p>
        </w:tc>
        <w:tc>
          <w:tcPr>
            <w:tcW w:w="5489" w:type="dxa"/>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审查内容</w:t>
            </w:r>
            <w:r/>
          </w:p>
        </w:tc>
      </w:tr>
      <w:tr>
        <w:trPr>
          <w:cantSplit/>
        </w:trPr>
        <w:tc>
          <w:tcPr>
            <w:tcW w:w="922" w:type="dxa"/>
            <w:vAlign w:val="center"/>
            <w:vMerge w:val="restart"/>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1</w:t>
            </w:r>
            <w:r/>
          </w:p>
        </w:tc>
        <w:tc>
          <w:tcPr>
            <w:tcBorders>
              <w:right w:val="single" w:color="000000" w:sz="4" w:space="0"/>
            </w:tcBorders>
            <w:tcW w:w="3218" w:type="dxa"/>
            <w:vAlign w:val="center"/>
            <w:vMerge w:val="restart"/>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投标文件</w:t>
            </w:r>
            <w:r>
              <w:rPr>
                <w:rFonts w:asciiTheme="minorEastAsia" w:hAnsiTheme="minorEastAsia" w:eastAsiaTheme="minorEastAsia"/>
                <w:color w:val="auto"/>
                <w:sz w:val="24"/>
                <w:highlight w:val="none"/>
                <w:lang w:eastAsia="en-US"/>
              </w:rPr>
              <w:t xml:space="preserve">有效性</w:t>
            </w:r>
            <w:r/>
          </w:p>
        </w:tc>
        <w:tc>
          <w:tcPr>
            <w:tcBorders>
              <w:left w:val="single" w:color="000000" w:sz="4" w:space="0"/>
              <w:bottom w:val="single" w:color="000000" w:sz="4" w:space="0"/>
            </w:tcBorders>
            <w:tcW w:w="548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right w:val="single" w:color="000000" w:sz="4" w:space="0"/>
            </w:tcBorders>
            <w:tcW w:w="3218" w:type="dxa"/>
            <w:vAlign w:val="center"/>
            <w:vMerge w:val="continue"/>
            <w:textDirection w:val="lrTb"/>
            <w:noWrap/>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top w:val="single" w:color="000000" w:sz="4" w:space="0"/>
              <w:left w:val="single" w:color="000000" w:sz="4" w:space="0"/>
            </w:tcBorders>
            <w:tcW w:w="5489"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Theme="minorEastAsia" w:hAnsiTheme="minorEastAsia" w:eastAsiaTheme="minorEastAsia"/>
                <w:color w:val="auto"/>
                <w:sz w:val="24"/>
                <w:highlight w:val="none"/>
                <w:lang w:eastAsia="en-US"/>
              </w:rPr>
            </w:pPr>
            <w:r>
              <w:rPr>
                <w:rFonts w:asciiTheme="minorEastAsia" w:hAnsiTheme="minorEastAsia" w:eastAsiaTheme="minorEastAsia"/>
                <w:color w:val="auto"/>
                <w:sz w:val="24"/>
                <w:highlight w:val="none"/>
                <w:lang w:eastAsia="en-US"/>
              </w:rPr>
            </w:r>
            <w:r/>
          </w:p>
        </w:tc>
        <w:tc>
          <w:tcPr>
            <w:tcBorders>
              <w:right w:val="single" w:color="000000" w:sz="4" w:space="0"/>
            </w:tcBorders>
            <w:tcW w:w="3218" w:type="dxa"/>
            <w:vAlign w:val="center"/>
            <w:vMerge w:val="continue"/>
            <w:textDirection w:val="lrTb"/>
            <w:noWrap/>
          </w:tcPr>
          <w:p>
            <w:pPr>
              <w:spacing w:line="360" w:lineRule="auto"/>
              <w:rPr>
                <w:rFonts w:asciiTheme="minorEastAsia" w:hAnsiTheme="minorEastAsia" w:eastAsiaTheme="minorEastAsia"/>
                <w:color w:val="auto"/>
                <w:sz w:val="24"/>
                <w:highlight w:val="none"/>
                <w:lang w:eastAsia="en-US"/>
              </w:rPr>
            </w:pPr>
            <w:r>
              <w:rPr>
                <w:rFonts w:asciiTheme="minorEastAsia" w:hAnsiTheme="minorEastAsia" w:eastAsiaTheme="minorEastAsia"/>
                <w:color w:val="auto"/>
                <w:sz w:val="24"/>
                <w:highlight w:val="none"/>
                <w:lang w:eastAsia="en-US"/>
              </w:rPr>
            </w:r>
            <w:r/>
          </w:p>
        </w:tc>
        <w:tc>
          <w:tcPr>
            <w:tcBorders>
              <w:top w:val="single" w:color="000000" w:sz="4" w:space="0"/>
              <w:left w:val="single" w:color="000000" w:sz="4" w:space="0"/>
            </w:tcBorders>
            <w:tcW w:w="5489" w:type="dxa"/>
            <w:vAlign w:val="center"/>
            <w:textDirection w:val="lrTb"/>
            <w:noWrap/>
          </w:tcPr>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未发现属无效投标的情形</w:t>
            </w:r>
            <w:r>
              <w:rPr>
                <w:rFonts w:hint="eastAsia" w:asciiTheme="minorEastAsia" w:hAnsiTheme="minorEastAsia" w:eastAsiaTheme="minorEastAsia"/>
                <w:color w:val="auto"/>
                <w:sz w:val="24"/>
                <w:highlight w:val="none"/>
              </w:rPr>
              <w:t xml:space="preserve">。</w:t>
            </w:r>
            <w:r/>
          </w:p>
        </w:tc>
      </w:tr>
      <w:tr>
        <w:trPr>
          <w:trHeight w:val="1424"/>
        </w:trPr>
        <w:tc>
          <w:tcPr>
            <w:tcW w:w="92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2</w:t>
            </w:r>
            <w:r/>
          </w:p>
        </w:tc>
        <w:tc>
          <w:tcPr>
            <w:tcW w:w="3218" w:type="dxa"/>
            <w:vAlign w:val="center"/>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对招标文件响应程度</w:t>
            </w:r>
            <w:r/>
          </w:p>
        </w:tc>
        <w:tc>
          <w:tcPr>
            <w:tcW w:w="5489" w:type="dxa"/>
            <w:textDirection w:val="lrTb"/>
            <w:noWrap/>
          </w:tcPr>
          <w:p>
            <w:pP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审查投标文件，以确定其是否满足招标文件的实质性要求。不满足招标文件的实质性要求的，投标无效。</w:t>
            </w:r>
            <w:bookmarkEnd w:id="234"/>
            <w:r/>
            <w:bookmarkEnd w:id="235"/>
            <w:r/>
            <w:bookmarkEnd w:id="236"/>
            <w:r/>
            <w:bookmarkEnd w:id="237"/>
            <w:r/>
            <w:bookmarkEnd w:id="238"/>
            <w:r/>
            <w:r/>
          </w:p>
        </w:tc>
      </w:tr>
    </w:tbl>
    <w:p>
      <w:pPr>
        <w:ind w:firstLine="446"/>
        <w:jc w:val="left"/>
        <w:spacing w:before="200" w:after="200" w:line="360" w:lineRule="auto"/>
        <w:widowControl/>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t xml:space="preserve">8.商务和技术评估</w:t>
      </w:r>
      <w:r/>
    </w:p>
    <w:p>
      <w:pPr>
        <w:ind w:firstLine="420"/>
        <w:jc w:val="left"/>
        <w:spacing w:line="360" w:lineRule="auto"/>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☑8.1 </w:t>
      </w:r>
      <w:r>
        <w:rPr>
          <w:rFonts w:hint="eastAsia" w:asciiTheme="minorEastAsia" w:hAnsiTheme="minorEastAsia" w:eastAsiaTheme="minorEastAsia"/>
          <w:b/>
          <w:color w:val="auto"/>
          <w:sz w:val="24"/>
          <w:highlight w:val="none"/>
        </w:rPr>
        <w:t xml:space="preserve">本项目采用综合评分法。</w:t>
      </w:r>
      <w:r/>
    </w:p>
    <w:p>
      <w:pPr>
        <w:jc w:val="left"/>
        <w:rPr>
          <w:rFonts w:ascii="宋体" w:hAnsi="宋体"/>
          <w:b/>
          <w:color w:val="auto"/>
          <w:sz w:val="24"/>
          <w:szCs w:val="28"/>
          <w:highlight w:val="none"/>
        </w:rPr>
      </w:pPr>
      <w:r>
        <w:rPr>
          <w:rFonts w:hint="eastAsia" w:ascii="宋体" w:hAnsi="宋体"/>
          <w:b/>
          <w:color w:val="auto"/>
          <w:sz w:val="24"/>
          <w:szCs w:val="28"/>
          <w:highlight w:val="none"/>
        </w:rPr>
        <w:t xml:space="preserve">（1）百分制评分标准</w:t>
      </w:r>
      <w:r/>
    </w:p>
    <w:tbl>
      <w:tblPr>
        <w:tblStyle w:val="764"/>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349"/>
        <w:gridCol w:w="2365"/>
        <w:gridCol w:w="2350"/>
        <w:gridCol w:w="2365"/>
      </w:tblGrid>
      <w:tr>
        <w:trPr>
          <w:trHeight w:val="465"/>
        </w:trPr>
        <w:tc>
          <w:tcPr>
            <w:tcW w:w="124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评分项目</w:t>
            </w:r>
            <w:r/>
          </w:p>
        </w:tc>
        <w:tc>
          <w:tcPr>
            <w:tcW w:w="1254"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技术评估</w:t>
            </w:r>
            <w:r/>
          </w:p>
        </w:tc>
        <w:tc>
          <w:tcPr>
            <w:tcW w:w="124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商务评估</w:t>
            </w:r>
            <w:r/>
          </w:p>
        </w:tc>
        <w:tc>
          <w:tcPr>
            <w:tcW w:w="1254"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价格评估</w:t>
            </w:r>
            <w:r/>
          </w:p>
        </w:tc>
      </w:tr>
      <w:tr>
        <w:trPr>
          <w:trHeight w:val="450"/>
        </w:trPr>
        <w:tc>
          <w:tcPr>
            <w:tcW w:w="124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分值</w:t>
            </w:r>
            <w:r/>
          </w:p>
        </w:tc>
        <w:tc>
          <w:tcPr>
            <w:tcW w:w="1254"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48.00</w:t>
            </w:r>
            <w:r/>
          </w:p>
        </w:tc>
        <w:tc>
          <w:tcPr>
            <w:tcW w:w="1246"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2.00</w:t>
            </w:r>
            <w:r/>
          </w:p>
        </w:tc>
        <w:tc>
          <w:tcPr>
            <w:tcW w:w="1254"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50</w:t>
            </w:r>
            <w:r>
              <w:rPr>
                <w:rFonts w:ascii="宋体" w:hAnsi="宋体"/>
                <w:color w:val="auto"/>
                <w:sz w:val="24"/>
                <w:szCs w:val="24"/>
                <w:highlight w:val="none"/>
              </w:rPr>
              <w:t xml:space="preserve">.00</w:t>
            </w:r>
            <w:r/>
          </w:p>
        </w:tc>
      </w:tr>
    </w:tbl>
    <w:p>
      <w:pPr>
        <w:jc w:val="center"/>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b/>
          <w:color w:val="auto"/>
          <w:sz w:val="24"/>
          <w:szCs w:val="28"/>
          <w:highlight w:val="none"/>
        </w:rPr>
      </w:pPr>
      <w:r>
        <w:rPr>
          <w:rFonts w:ascii="宋体" w:hAnsi="宋体"/>
          <w:b/>
          <w:color w:val="auto"/>
          <w:sz w:val="24"/>
          <w:szCs w:val="28"/>
          <w:highlight w:val="none"/>
        </w:rPr>
        <w:t xml:space="preserve">（一） 技术评估</w:t>
      </w:r>
      <w:r/>
    </w:p>
    <w:tbl>
      <w:tblPr>
        <w:tblStyle w:val="764"/>
        <w:tblW w:w="500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61"/>
        <w:gridCol w:w="997"/>
        <w:gridCol w:w="7139"/>
        <w:gridCol w:w="847"/>
      </w:tblGrid>
      <w:tr>
        <w:trPr>
          <w:trHeight w:val="20"/>
        </w:trPr>
        <w:tc>
          <w:tcPr>
            <w:tcW w:w="244"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序号</w:t>
            </w:r>
            <w:r/>
          </w:p>
        </w:tc>
        <w:tc>
          <w:tcPr>
            <w:tcW w:w="528"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评审因素</w:t>
            </w:r>
            <w:r/>
          </w:p>
        </w:tc>
        <w:tc>
          <w:tcPr>
            <w:tcW w:w="3778"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评审细则</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分值</w:t>
            </w:r>
            <w:bookmarkStart w:id="239" w:name="OLE_LINK5"/>
            <w:r/>
            <w:bookmarkStart w:id="240" w:name="OLE_LINK6"/>
            <w:r>
              <w:rPr>
                <w:rFonts w:hint="eastAsia" w:ascii="宋体" w:hAnsi="宋体"/>
                <w:color w:val="auto"/>
                <w:sz w:val="24"/>
                <w:szCs w:val="21"/>
                <w:highlight w:val="none"/>
              </w:rPr>
              <w:t xml:space="preserve">（分）</w:t>
            </w:r>
            <w:bookmarkEnd w:id="239"/>
            <w:r/>
            <w:bookmarkEnd w:id="240"/>
            <w:r/>
            <w:r/>
          </w:p>
        </w:tc>
      </w:tr>
      <w:tr>
        <w:trPr>
          <w:trHeight w:val="20"/>
        </w:trPr>
        <w:tc>
          <w:tcPr>
            <w:gridSpan w:val="3"/>
            <w:tcW w:w="4551"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技术</w:t>
            </w:r>
            <w:r>
              <w:rPr>
                <w:rFonts w:hint="eastAsia" w:ascii="宋体" w:hAnsi="宋体"/>
                <w:color w:val="auto"/>
                <w:sz w:val="24"/>
                <w:szCs w:val="21"/>
                <w:highlight w:val="none"/>
              </w:rPr>
              <w:t xml:space="preserve">及</w:t>
            </w:r>
            <w:r>
              <w:rPr>
                <w:rFonts w:ascii="宋体" w:hAnsi="宋体"/>
                <w:color w:val="auto"/>
                <w:sz w:val="24"/>
                <w:szCs w:val="21"/>
                <w:highlight w:val="none"/>
              </w:rPr>
              <w:t xml:space="preserve">服务水平</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48</w:t>
            </w:r>
            <w:r>
              <w:rPr>
                <w:rFonts w:ascii="宋体" w:hAnsi="宋体"/>
                <w:color w:val="auto"/>
                <w:sz w:val="24"/>
                <w:szCs w:val="21"/>
                <w:highlight w:val="none"/>
              </w:rPr>
              <w:t xml:space="preserve">.0</w:t>
            </w:r>
            <w:r>
              <w:rPr>
                <w:rFonts w:hint="eastAsia" w:ascii="宋体" w:hAnsi="宋体"/>
                <w:color w:val="auto"/>
                <w:sz w:val="24"/>
                <w:szCs w:val="21"/>
                <w:highlight w:val="none"/>
              </w:rPr>
              <w:t xml:space="preserve">0</w:t>
            </w:r>
            <w:r/>
          </w:p>
        </w:tc>
      </w:tr>
      <w:tr>
        <w:trPr>
          <w:trHeight w:val="20"/>
        </w:trPr>
        <w:tc>
          <w:tcPr>
            <w:tcW w:w="244"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w:t>
            </w:r>
            <w:r/>
          </w:p>
        </w:tc>
        <w:tc>
          <w:tcPr>
            <w:tcW w:w="528"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技术参数</w:t>
            </w:r>
            <w:r>
              <w:rPr>
                <w:rFonts w:hint="eastAsia" w:ascii="宋体" w:hAnsi="宋体"/>
                <w:color w:val="auto"/>
                <w:sz w:val="24"/>
                <w:szCs w:val="21"/>
                <w:highlight w:val="none"/>
              </w:rPr>
              <w:t xml:space="preserve">响应</w:t>
            </w:r>
            <w:r>
              <w:rPr>
                <w:rFonts w:ascii="宋体" w:hAnsi="宋体"/>
                <w:color w:val="auto"/>
                <w:sz w:val="24"/>
                <w:szCs w:val="21"/>
                <w:highlight w:val="none"/>
              </w:rPr>
              <w:t xml:space="preserve">评价</w:t>
            </w:r>
            <w:r/>
          </w:p>
        </w:tc>
        <w:tc>
          <w:tcPr>
            <w:tcW w:w="3778" w:type="pct"/>
            <w:vAlign w:val="center"/>
            <w:textDirection w:val="lrTb"/>
            <w:noWrap w:val="false"/>
          </w:tcPr>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根据投标人提供的设备功能、参数响应情况及《技术条款响应及偏离表》等，结合投标人提供的相关厂商证明材料或检测检验报告（如有）等，就其对各器材设备的理解是否响应招标文件要求，功能是否合理、参数是否响应、设备性能是否满足进行详细评审，所投产品完全实质性响应招标文件要求的得21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1、标有“★”的功能和技术参数必须满足要求，不得出现负偏离、否则视为无效投标。</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2、标“▲”的功能及技术参数为重要性能指标，有一项负偏离扣0.5分，本项21分扣完为止。</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投标人在《技术响应及技术偏离对照表》中须一一如实表述产品技术性能，需按照参数要求如实提供证明材料。证明材料经评委审核有效的，视为满足；未提供有效证明材料或证明材料中内容与所填报指标不一致的，该指标按不满足处理。</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21.00</w:t>
            </w:r>
            <w:r/>
          </w:p>
        </w:tc>
      </w:tr>
      <w:tr>
        <w:trPr>
          <w:trHeight w:val="20"/>
        </w:trPr>
        <w:tc>
          <w:tcPr>
            <w:tcW w:w="244"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w:t>
            </w:r>
            <w:r/>
          </w:p>
        </w:tc>
        <w:tc>
          <w:tcPr>
            <w:tcW w:w="52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演示</w:t>
            </w:r>
            <w:r/>
          </w:p>
        </w:tc>
        <w:tc>
          <w:tcPr>
            <w:tcW w:w="3778" w:type="pct"/>
            <w:vAlign w:val="center"/>
            <w:textDirection w:val="lrTb"/>
            <w:noWrap w:val="false"/>
          </w:tcPr>
          <w:p>
            <w:pPr>
              <w:jc w:val="left"/>
              <w:spacing w:line="360" w:lineRule="auto"/>
              <w:rPr>
                <w:rFonts w:hint="default" w:ascii="宋体" w:hAnsi="宋体" w:eastAsia="宋体"/>
                <w:color w:val="auto"/>
                <w:sz w:val="24"/>
                <w:szCs w:val="21"/>
                <w:highlight w:val="none"/>
                <w:lang w:val="en-US" w:eastAsia="zh-CN"/>
              </w:rPr>
            </w:pPr>
            <w:r>
              <w:rPr>
                <w:rFonts w:hint="eastAsia" w:asciiTheme="minorEastAsia" w:hAnsiTheme="minorEastAsia" w:eastAsiaTheme="minorEastAsia"/>
                <w:color w:val="auto"/>
                <w:sz w:val="24"/>
                <w:highlight w:val="none"/>
              </w:rPr>
              <w:t xml:space="preserve">本项目演示采用录播视频上传形式，演示必须是真实实景真人讲解环境，采用真实设备及系统进行演示，演示时间不超过45分钟。不接受PPT等</w:t>
            </w:r>
            <w:r>
              <w:rPr>
                <w:rFonts w:asciiTheme="minorEastAsia" w:hAnsiTheme="minorEastAsia" w:eastAsiaTheme="minorEastAsia"/>
                <w:color w:val="auto"/>
                <w:sz w:val="24"/>
                <w:highlight w:val="none"/>
              </w:rPr>
              <w:t xml:space="preserve">非真实系统</w:t>
            </w:r>
            <w:r>
              <w:rPr>
                <w:rFonts w:hint="eastAsia" w:asciiTheme="minorEastAsia" w:hAnsiTheme="minorEastAsia" w:eastAsiaTheme="minorEastAsia"/>
                <w:color w:val="auto"/>
                <w:sz w:val="24"/>
                <w:highlight w:val="none"/>
              </w:rPr>
              <w:t xml:space="preserve">形式演示。各投标人自行将录播内容上传至“苏采云”系统的演示视频模块。视频以压缩形式进行上传，单个视频上限50M，整体上限300M。视频材料须为针对本项目制作，视频内容中须表述项目名称、项目编号，否则不得分</w:t>
            </w:r>
            <w:r>
              <w:rPr>
                <w:rFonts w:hint="eastAsia" w:ascii="宋体" w:hAnsi="宋体"/>
                <w:color w:val="auto"/>
                <w:sz w:val="24"/>
                <w:szCs w:val="21"/>
                <w:highlight w:val="none"/>
              </w:rPr>
              <w:t xml:space="preserve">。</w:t>
            </w:r>
            <w:r>
              <w:rPr>
                <w:rFonts w:hint="eastAsia" w:ascii="宋体" w:hAnsi="宋体" w:cs="宋体"/>
                <w:color w:val="auto"/>
                <w:sz w:val="24"/>
                <w:highlight w:val="none"/>
              </w:rPr>
              <w:t xml:space="preserve">各项演示内容参见采购需求演示内容。</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1、评委根据供应商对“序号26：数字历史年鉴图”演示的完整性进行综合比较，演示内容共2项，有一项完全满足演示要求得1分，最高得2分。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2、评委根据供应商对“序号94：VR虚拟绘画一体机”演示的完整性进行综合比较，演示内容共2项，有一项完全满足演示要求得1分，最高得2分。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3、评委根据供应商对“序号95：AI心育自助服务系统”演示的完整性进行综合比较，演示内容共4项，有一项完全满足演示要求得1分，最高得4分。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4、评委根据供应商对“序号107：校园阅读”演示的完整性进行综合比较，演示内容共4项，有一项完全满足演示要求得1分，最高得4分。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5、评委根据供应商对“序号152：探究凸透镜成像的规律AR增强实境实验套件”演示的完整性进行综合比较，演示内容共4项，有一项完全满足演示要求得1分，最高得4分。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6、评委根据供应商对“序号503：实验资源管理云平台”演示的完整性进行综合比较，演示内容共3项，有一项完全满足演示要求得1分，最高得3分。</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19.00</w:t>
            </w:r>
            <w:r/>
          </w:p>
        </w:tc>
      </w:tr>
      <w:tr>
        <w:trPr>
          <w:trHeight w:val="20"/>
        </w:trPr>
        <w:tc>
          <w:tcPr>
            <w:tcW w:w="244"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w:t>
            </w:r>
            <w:r/>
          </w:p>
        </w:tc>
        <w:tc>
          <w:tcPr>
            <w:tcW w:w="52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样品</w:t>
            </w:r>
            <w:r/>
          </w:p>
        </w:tc>
        <w:tc>
          <w:tcPr>
            <w:tcW w:w="3778" w:type="pct"/>
            <w:vAlign w:val="center"/>
            <w:textDirection w:val="lrTb"/>
            <w:noWrap w:val="false"/>
          </w:tcPr>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评委依据投标人提供的“序号</w:t>
            </w:r>
            <w:r>
              <w:rPr>
                <w:rFonts w:hint="eastAsia" w:ascii="宋体" w:hAnsi="宋体"/>
                <w:color w:val="auto"/>
                <w:sz w:val="24"/>
                <w:szCs w:val="21"/>
                <w:highlight w:val="none"/>
              </w:rPr>
              <w:t xml:space="preserve">111：</w:t>
            </w:r>
            <w:r>
              <w:rPr>
                <w:rFonts w:ascii="宋体" w:hAnsi="宋体"/>
                <w:color w:val="auto"/>
                <w:sz w:val="24"/>
                <w:szCs w:val="21"/>
                <w:highlight w:val="none"/>
              </w:rPr>
              <w:t xml:space="preserve">学生实验桌（陶瓷面板）”成品样品，以样品外观、陶瓷面板表面工艺、整体框架结构、拼接缝隙、连接件安装牢固度为判定依据</w:t>
            </w:r>
            <w:r>
              <w:rPr>
                <w:rFonts w:hint="eastAsia" w:ascii="宋体" w:hAnsi="宋体"/>
                <w:color w:val="auto"/>
                <w:sz w:val="24"/>
                <w:szCs w:val="21"/>
                <w:highlight w:val="none"/>
              </w:rPr>
              <w:t xml:space="preserve">：</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（1）陶瓷面板无可见划痕、无色差、边缘无毛刺；桌体拼接缝隙均匀≤</w:t>
            </w:r>
            <w:r>
              <w:rPr>
                <w:rFonts w:hint="eastAsia" w:ascii="宋体" w:hAnsi="宋体"/>
                <w:color w:val="auto"/>
                <w:sz w:val="24"/>
                <w:szCs w:val="21"/>
                <w:highlight w:val="none"/>
              </w:rPr>
              <w:t xml:space="preserve">1</w:t>
            </w:r>
            <w:r>
              <w:rPr>
                <w:rFonts w:ascii="宋体" w:hAnsi="宋体"/>
                <w:color w:val="auto"/>
                <w:sz w:val="24"/>
                <w:szCs w:val="21"/>
                <w:highlight w:val="none"/>
              </w:rPr>
              <w:t xml:space="preserve">mm，无松动晃动，五金连接件紧固无间隙，整体工艺优异</w:t>
            </w:r>
            <w:r>
              <w:rPr>
                <w:rFonts w:hint="eastAsia" w:ascii="宋体" w:hAnsi="宋体"/>
                <w:color w:val="auto"/>
                <w:sz w:val="24"/>
                <w:szCs w:val="21"/>
                <w:highlight w:val="none"/>
              </w:rPr>
              <w:t xml:space="preserve">，</w:t>
            </w:r>
            <w:r>
              <w:rPr>
                <w:rFonts w:ascii="宋体" w:hAnsi="宋体"/>
                <w:color w:val="auto"/>
                <w:sz w:val="24"/>
                <w:szCs w:val="21"/>
                <w:highlight w:val="none"/>
              </w:rPr>
              <w:t xml:space="preserve">得</w:t>
            </w:r>
            <w:r>
              <w:rPr>
                <w:rFonts w:hint="eastAsia" w:ascii="宋体" w:hAnsi="宋体"/>
                <w:color w:val="auto"/>
                <w:sz w:val="24"/>
                <w:szCs w:val="21"/>
                <w:highlight w:val="none"/>
              </w:rPr>
              <w:t xml:space="preserve">2</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（2）陶瓷面板仅有极细微点状痕迹，无连片划痕、明显色差，不影响正常使用；桌体拼接缝隙≤</w:t>
            </w:r>
            <w:r>
              <w:rPr>
                <w:rFonts w:hint="eastAsia" w:ascii="宋体" w:hAnsi="宋体"/>
                <w:color w:val="auto"/>
                <w:sz w:val="24"/>
                <w:szCs w:val="21"/>
                <w:highlight w:val="none"/>
              </w:rPr>
              <w:t xml:space="preserve">2</w:t>
            </w:r>
            <w:r>
              <w:rPr>
                <w:rFonts w:ascii="宋体" w:hAnsi="宋体"/>
                <w:color w:val="auto"/>
                <w:sz w:val="24"/>
                <w:szCs w:val="21"/>
                <w:highlight w:val="none"/>
              </w:rPr>
              <w:t xml:space="preserve">mm，整体安装稳固无晃动，工艺较好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得</w:t>
            </w:r>
            <w:r>
              <w:rPr>
                <w:rFonts w:hint="eastAsia" w:ascii="宋体" w:hAnsi="宋体"/>
                <w:color w:val="auto"/>
                <w:sz w:val="24"/>
                <w:szCs w:val="21"/>
                <w:highlight w:val="none"/>
              </w:rPr>
              <w:t xml:space="preserve">1.5</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（3）陶瓷面板存在长条划痕、凹凸色斑、边缘毛刺；桌体拼接缝隙＞</w:t>
            </w:r>
            <w:r>
              <w:rPr>
                <w:rFonts w:hint="eastAsia" w:ascii="宋体" w:hAnsi="宋体"/>
                <w:color w:val="auto"/>
                <w:sz w:val="24"/>
                <w:szCs w:val="21"/>
                <w:highlight w:val="none"/>
              </w:rPr>
              <w:t xml:space="preserve">2</w:t>
            </w:r>
            <w:r>
              <w:rPr>
                <w:rFonts w:ascii="宋体" w:hAnsi="宋体"/>
                <w:color w:val="auto"/>
                <w:sz w:val="24"/>
                <w:szCs w:val="21"/>
                <w:highlight w:val="none"/>
              </w:rPr>
              <w:t xml:space="preserve">mm，局部连接件轻微松动，外观及组装存在多处明显缺陷，得</w:t>
            </w:r>
            <w:r>
              <w:rPr>
                <w:rFonts w:hint="eastAsia" w:ascii="宋体" w:hAnsi="宋体"/>
                <w:color w:val="auto"/>
                <w:sz w:val="24"/>
                <w:szCs w:val="21"/>
                <w:highlight w:val="none"/>
              </w:rPr>
              <w:t xml:space="preserve">1</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、评委依据投标人提供的</w:t>
            </w:r>
            <w:r>
              <w:rPr>
                <w:rFonts w:hint="eastAsia" w:ascii="宋体" w:hAnsi="宋体"/>
                <w:color w:val="auto"/>
                <w:sz w:val="24"/>
                <w:szCs w:val="21"/>
                <w:highlight w:val="none"/>
              </w:rPr>
              <w:t xml:space="preserve">“序号391：</w:t>
            </w:r>
            <w:r>
              <w:rPr>
                <w:rFonts w:ascii="宋体" w:hAnsi="宋体"/>
                <w:color w:val="auto"/>
                <w:sz w:val="24"/>
                <w:szCs w:val="21"/>
                <w:highlight w:val="none"/>
              </w:rPr>
              <w:t xml:space="preserve">电工工具箱（教师用）</w:t>
            </w:r>
            <w:r>
              <w:rPr>
                <w:rFonts w:hint="eastAsia" w:ascii="宋体" w:hAnsi="宋体"/>
                <w:color w:val="auto"/>
                <w:sz w:val="24"/>
                <w:szCs w:val="21"/>
                <w:highlight w:val="none"/>
              </w:rPr>
              <w:t xml:space="preserve">”</w:t>
            </w:r>
            <w:r>
              <w:rPr>
                <w:rFonts w:ascii="宋体" w:hAnsi="宋体"/>
                <w:color w:val="auto"/>
                <w:sz w:val="24"/>
                <w:szCs w:val="21"/>
                <w:highlight w:val="none"/>
              </w:rPr>
              <w:t xml:space="preserve">成品样品，以箱体规格材质、结构工艺、EVA填充配置、工具配齐、功能配件完整性为判定依据：</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（1）完全满足所有规格、工艺、配置及功能要求，配件齐全、结构完好、工艺精细，得</w:t>
            </w:r>
            <w:r>
              <w:rPr>
                <w:rFonts w:hint="eastAsia" w:ascii="宋体" w:hAnsi="宋体"/>
                <w:color w:val="auto"/>
                <w:sz w:val="24"/>
                <w:szCs w:val="21"/>
                <w:highlight w:val="none"/>
              </w:rPr>
              <w:t xml:space="preserve">2</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（2）核心参数功能达标，仅存在细微外观瑕疵，不影响使用及整体性能，得</w:t>
            </w:r>
            <w:r>
              <w:rPr>
                <w:rFonts w:hint="eastAsia" w:ascii="宋体" w:hAnsi="宋体"/>
                <w:color w:val="auto"/>
                <w:sz w:val="24"/>
                <w:szCs w:val="21"/>
                <w:highlight w:val="none"/>
              </w:rPr>
              <w:t xml:space="preserve">1.5</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（3）存在参数偏差、配件缺失、工艺缺陷，部分功能不达标，得1分。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、评委依据投标人提供的</w:t>
            </w:r>
            <w:r>
              <w:rPr>
                <w:rFonts w:hint="eastAsia" w:ascii="宋体" w:hAnsi="宋体"/>
                <w:color w:val="auto"/>
                <w:sz w:val="24"/>
                <w:szCs w:val="21"/>
                <w:highlight w:val="none"/>
              </w:rPr>
              <w:t xml:space="preserve">“序号461：</w:t>
            </w:r>
            <w:r>
              <w:rPr>
                <w:rFonts w:ascii="宋体" w:hAnsi="宋体"/>
                <w:color w:val="auto"/>
                <w:sz w:val="24"/>
                <w:szCs w:val="21"/>
                <w:highlight w:val="none"/>
              </w:rPr>
              <w:t xml:space="preserve">智能试剂柜</w:t>
            </w:r>
            <w:r>
              <w:rPr>
                <w:rFonts w:hint="eastAsia" w:ascii="宋体" w:hAnsi="宋体"/>
                <w:color w:val="auto"/>
                <w:sz w:val="24"/>
                <w:szCs w:val="21"/>
                <w:highlight w:val="none"/>
              </w:rPr>
              <w:t xml:space="preserve">”</w:t>
            </w:r>
            <w:r>
              <w:rPr>
                <w:rFonts w:ascii="宋体" w:hAnsi="宋体"/>
                <w:color w:val="auto"/>
                <w:sz w:val="24"/>
                <w:szCs w:val="21"/>
                <w:highlight w:val="none"/>
              </w:rPr>
              <w:t xml:space="preserve">成品样品，以样品尺寸重量、柜体材质工艺、锁具铰链结构、防护配置为判定依据：</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（1）完全匹配所有技术参数与标准，工艺精良、配置齐全、标识规范，得</w:t>
            </w:r>
            <w:r>
              <w:rPr>
                <w:rFonts w:hint="eastAsia" w:ascii="宋体" w:hAnsi="宋体"/>
                <w:color w:val="auto"/>
                <w:sz w:val="24"/>
                <w:szCs w:val="21"/>
                <w:highlight w:val="none"/>
              </w:rPr>
              <w:t xml:space="preserve">2</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（2）基本符合参数要求，工艺、配置无明显瑕疵，不影响使用，得</w:t>
            </w:r>
            <w:r>
              <w:rPr>
                <w:rFonts w:hint="eastAsia" w:ascii="宋体" w:hAnsi="宋体"/>
                <w:color w:val="auto"/>
                <w:sz w:val="24"/>
                <w:szCs w:val="21"/>
                <w:highlight w:val="none"/>
              </w:rPr>
              <w:t xml:space="preserve">1.5</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（3）参数、工艺、配置存在明显缺陷，部分指标不达标，得1分。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、评委依据投标人提供的“序号67</w:t>
            </w:r>
            <w:r>
              <w:rPr>
                <w:rFonts w:hint="eastAsia" w:ascii="宋体" w:hAnsi="宋体"/>
                <w:color w:val="auto"/>
                <w:sz w:val="24"/>
                <w:szCs w:val="21"/>
                <w:highlight w:val="none"/>
              </w:rPr>
              <w:t xml:space="preserve">1</w:t>
            </w:r>
            <w:r>
              <w:rPr>
                <w:rFonts w:ascii="宋体" w:hAnsi="宋体"/>
                <w:color w:val="auto"/>
                <w:sz w:val="24"/>
                <w:szCs w:val="21"/>
                <w:highlight w:val="none"/>
              </w:rPr>
              <w:t xml:space="preserve">：数码液晶显微镜（学生机）”成品样品，以供电规格、机身结构、硬件参数、功能配置、外观工艺为判定依据：</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（1）完全满足全部技术指标，结构、接口、参数、功能均达标，工艺完好，得</w:t>
            </w:r>
            <w:r>
              <w:rPr>
                <w:rFonts w:hint="eastAsia" w:ascii="宋体" w:hAnsi="宋体"/>
                <w:color w:val="auto"/>
                <w:sz w:val="24"/>
                <w:szCs w:val="21"/>
                <w:highlight w:val="none"/>
              </w:rPr>
              <w:t xml:space="preserve">2</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（2）核心指标达标，仅次要细节存在细微偏差，不影响使用，得</w:t>
            </w:r>
            <w:r>
              <w:rPr>
                <w:rFonts w:hint="eastAsia" w:ascii="宋体" w:hAnsi="宋体"/>
                <w:color w:val="auto"/>
                <w:sz w:val="24"/>
                <w:szCs w:val="21"/>
                <w:highlight w:val="none"/>
              </w:rPr>
              <w:t xml:space="preserve">1.5</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（3）多项参数、功能不达标，结构工艺存在明显缺陷，得1分。</w:t>
            </w:r>
            <w:r/>
          </w:p>
        </w:tc>
        <w:tc>
          <w:tcPr>
            <w:tcW w:w="448" w:type="pct"/>
            <w:vAlign w:val="center"/>
            <w:textDirection w:val="lrTb"/>
            <w:noWrap w:val="false"/>
          </w:tcPr>
          <w:p>
            <w:pPr>
              <w:jc w:val="cente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8</w:t>
            </w:r>
            <w:r/>
          </w:p>
        </w:tc>
      </w:tr>
    </w:tbl>
    <w:p>
      <w:pPr>
        <w:pStyle w:val="765"/>
        <w:ind w:firstLine="402"/>
        <w:spacing w:after="0"/>
        <w:rPr>
          <w:rFonts w:ascii="宋体" w:hAnsi="宋体"/>
          <w:b/>
          <w:color w:val="auto"/>
          <w:sz w:val="18"/>
          <w:highlight w:val="none"/>
        </w:rPr>
      </w:pPr>
      <w:r>
        <w:rPr>
          <w:rFonts w:ascii="宋体" w:hAnsi="宋体"/>
          <w:b/>
          <w:color w:val="auto"/>
          <w:sz w:val="18"/>
          <w:highlight w:val="none"/>
        </w:rPr>
      </w:r>
      <w:r/>
    </w:p>
    <w:p>
      <w:pPr>
        <w:jc w:val="left"/>
        <w:rPr>
          <w:rFonts w:ascii="宋体" w:hAnsi="宋体"/>
          <w:b/>
          <w:color w:val="auto"/>
          <w:sz w:val="24"/>
          <w:szCs w:val="28"/>
          <w:highlight w:val="none"/>
        </w:rPr>
        <w:outlineLvl w:val="0"/>
      </w:pPr>
      <w:r/>
      <w:bookmarkStart w:id="241" w:name="_Hlk114065152"/>
      <w:r/>
      <w:bookmarkStart w:id="242" w:name="OLE_LINK4"/>
      <w:r>
        <w:rPr>
          <w:rFonts w:ascii="宋体" w:hAnsi="宋体"/>
          <w:b/>
          <w:color w:val="auto"/>
          <w:sz w:val="24"/>
          <w:szCs w:val="28"/>
          <w:highlight w:val="none"/>
        </w:rPr>
        <w:t xml:space="preserve">（二）商务评估</w:t>
      </w:r>
      <w:r/>
    </w:p>
    <w:tbl>
      <w:tblPr>
        <w:tblStyle w:val="764"/>
        <w:tblW w:w="502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0"/>
        <w:gridCol w:w="1075"/>
        <w:gridCol w:w="6934"/>
        <w:gridCol w:w="927"/>
      </w:tblGrid>
      <w:tr>
        <w:trPr>
          <w:trHeight w:val="502"/>
        </w:trPr>
        <w:tc>
          <w:tcPr>
            <w:tcW w:w="285"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序号</w:t>
            </w:r>
            <w:r/>
          </w:p>
        </w:tc>
        <w:tc>
          <w:tcPr>
            <w:tcW w:w="567"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评审因素</w:t>
            </w:r>
            <w:r/>
          </w:p>
        </w:tc>
        <w:tc>
          <w:tcPr>
            <w:tcW w:w="3657" w:type="pct"/>
            <w:vAlign w:val="center"/>
            <w:textDirection w:val="lrTb"/>
            <w:noWrap w:val="false"/>
          </w:tcPr>
          <w:p>
            <w:pPr>
              <w:jc w:val="center"/>
              <w:spacing w:line="360" w:lineRule="auto"/>
              <w:rPr>
                <w:rFonts w:ascii="宋体" w:hAnsi="宋体"/>
                <w:color w:val="auto"/>
                <w:sz w:val="24"/>
                <w:szCs w:val="21"/>
                <w:highlight w:val="none"/>
              </w:rPr>
            </w:pPr>
            <w:r>
              <w:rPr>
                <w:rFonts w:ascii="宋体" w:hAnsi="宋体"/>
                <w:color w:val="auto"/>
                <w:sz w:val="24"/>
                <w:szCs w:val="21"/>
                <w:highlight w:val="none"/>
              </w:rPr>
              <w:t xml:space="preserve">评审细则</w:t>
            </w:r>
            <w:r/>
          </w:p>
        </w:tc>
        <w:tc>
          <w:tcPr>
            <w:tcW w:w="489"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分值</w:t>
            </w:r>
            <w:r>
              <w:rPr>
                <w:rFonts w:hint="eastAsia" w:ascii="宋体" w:hAnsi="宋体"/>
                <w:color w:val="auto"/>
                <w:sz w:val="24"/>
                <w:szCs w:val="28"/>
                <w:highlight w:val="none"/>
              </w:rPr>
              <w:t xml:space="preserve">（分）</w:t>
            </w:r>
            <w:r/>
          </w:p>
        </w:tc>
      </w:tr>
      <w:tr>
        <w:trPr>
          <w:trHeight w:val="979"/>
        </w:trPr>
        <w:tc>
          <w:tcPr>
            <w:tcW w:w="285"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p>
        </w:tc>
        <w:tc>
          <w:tcPr>
            <w:tcW w:w="567"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服务方案</w:t>
            </w:r>
            <w:r/>
          </w:p>
        </w:tc>
        <w:tc>
          <w:tcPr>
            <w:tcW w:w="3657" w:type="pct"/>
            <w:vAlign w:val="center"/>
            <w:textDirection w:val="lrTb"/>
            <w:noWrap w:val="false"/>
          </w:tcPr>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根据投标人</w:t>
            </w:r>
            <w:r>
              <w:rPr>
                <w:rFonts w:ascii="宋体" w:hAnsi="宋体"/>
                <w:color w:val="auto"/>
                <w:sz w:val="24"/>
                <w:szCs w:val="21"/>
                <w:highlight w:val="none"/>
              </w:rPr>
              <w:t xml:space="preserve">编制</w:t>
            </w:r>
            <w:r>
              <w:rPr>
                <w:rFonts w:hint="eastAsia" w:ascii="宋体" w:hAnsi="宋体"/>
                <w:color w:val="auto"/>
                <w:sz w:val="24"/>
                <w:szCs w:val="21"/>
                <w:highlight w:val="none"/>
              </w:rPr>
              <w:t xml:space="preserve">的服务方案，应该包括①售后服务承诺②培训方案二</w:t>
            </w:r>
            <w:r>
              <w:rPr>
                <w:rFonts w:ascii="宋体" w:hAnsi="宋体"/>
                <w:color w:val="auto"/>
                <w:sz w:val="24"/>
                <w:szCs w:val="21"/>
                <w:highlight w:val="none"/>
              </w:rPr>
              <w:t xml:space="preserve">大模块</w:t>
            </w:r>
            <w:r>
              <w:rPr>
                <w:rFonts w:hint="eastAsia" w:ascii="宋体" w:hAnsi="宋体"/>
                <w:color w:val="auto"/>
                <w:sz w:val="24"/>
                <w:szCs w:val="21"/>
                <w:highlight w:val="none"/>
              </w:rPr>
              <w:t xml:space="preserve">，</w:t>
            </w:r>
            <w:r>
              <w:rPr>
                <w:rFonts w:ascii="宋体" w:hAnsi="宋体"/>
                <w:color w:val="auto"/>
                <w:sz w:val="24"/>
                <w:szCs w:val="21"/>
                <w:highlight w:val="none"/>
              </w:rPr>
              <w:t xml:space="preserve">逐项评审：</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单一项内容完整详实、贴合本项目实际需求、有具体落地措施，得</w:t>
            </w:r>
            <w:r>
              <w:rPr>
                <w:rFonts w:hint="eastAsia" w:ascii="宋体" w:hAnsi="宋体"/>
                <w:color w:val="auto"/>
                <w:sz w:val="24"/>
                <w:szCs w:val="21"/>
                <w:highlight w:val="none"/>
              </w:rPr>
              <w:t xml:space="preserve">1</w:t>
            </w:r>
            <w:r>
              <w:rPr>
                <w:rFonts w:ascii="宋体" w:hAnsi="宋体"/>
                <w:color w:val="auto"/>
                <w:sz w:val="24"/>
                <w:szCs w:val="21"/>
                <w:highlight w:val="none"/>
              </w:rPr>
              <w:t xml:space="preserve">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单一项仅有标题、内容空泛照搬通用模板、无针对性落地内容，不得分；</w:t>
            </w:r>
            <w:r/>
          </w:p>
          <w:p>
            <w:pPr>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未提供该模块内容，不得分；</w:t>
            </w:r>
            <w:r/>
          </w:p>
        </w:tc>
        <w:tc>
          <w:tcPr>
            <w:tcW w:w="489"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2.00</w:t>
            </w:r>
            <w:r/>
          </w:p>
        </w:tc>
      </w:tr>
    </w:tbl>
    <w:p>
      <w:pPr>
        <w:pStyle w:val="2390"/>
        <w:rPr>
          <w:rFonts w:ascii="宋体" w:hAnsi="宋体"/>
          <w:color w:val="auto"/>
          <w:szCs w:val="21"/>
          <w:highlight w:val="none"/>
        </w:rPr>
      </w:pPr>
      <w:r>
        <w:rPr>
          <w:rFonts w:ascii="宋体" w:hAnsi="宋体"/>
          <w:color w:val="auto"/>
          <w:szCs w:val="21"/>
          <w:highlight w:val="none"/>
        </w:rPr>
      </w:r>
      <w:r/>
    </w:p>
    <w:p>
      <w:pPr>
        <w:pStyle w:val="2390"/>
        <w:rPr>
          <w:rFonts w:ascii="宋体" w:hAnsi="宋体"/>
          <w:color w:val="auto"/>
          <w:szCs w:val="21"/>
          <w:highlight w:val="none"/>
        </w:rPr>
      </w:pPr>
      <w:r>
        <w:rPr>
          <w:rFonts w:ascii="宋体" w:hAnsi="宋体"/>
          <w:color w:val="auto"/>
          <w:szCs w:val="21"/>
          <w:highlight w:val="none"/>
        </w:rPr>
      </w:r>
      <w:r/>
    </w:p>
    <w:p>
      <w:pPr>
        <w:pStyle w:val="2390"/>
        <w:rPr>
          <w:rFonts w:ascii="宋体" w:hAnsi="宋体"/>
          <w:b/>
          <w:color w:val="auto"/>
          <w:sz w:val="24"/>
          <w:szCs w:val="21"/>
          <w:highlight w:val="none"/>
        </w:rPr>
        <w:outlineLvl w:val="0"/>
      </w:pPr>
      <w:r>
        <w:rPr>
          <w:rFonts w:ascii="宋体" w:hAnsi="宋体"/>
          <w:b/>
          <w:color w:val="auto"/>
          <w:sz w:val="24"/>
          <w:szCs w:val="21"/>
          <w:highlight w:val="none"/>
        </w:rPr>
        <w:t xml:space="preserve">（三）价格评估</w:t>
      </w:r>
      <w:r/>
    </w:p>
    <w:tbl>
      <w:tblPr>
        <w:tblStyle w:val="764"/>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3"/>
        <w:gridCol w:w="1073"/>
        <w:gridCol w:w="6906"/>
        <w:gridCol w:w="907"/>
      </w:tblGrid>
      <w:tr>
        <w:trPr>
          <w:trHeight w:val="675"/>
        </w:trPr>
        <w:tc>
          <w:tcPr>
            <w:tcW w:w="288"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序号</w:t>
            </w:r>
            <w:r/>
          </w:p>
        </w:tc>
        <w:tc>
          <w:tcPr>
            <w:tcW w:w="569"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评审因素</w:t>
            </w:r>
            <w:r/>
          </w:p>
        </w:tc>
        <w:tc>
          <w:tcPr>
            <w:tcW w:w="3662"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评审细则</w:t>
            </w:r>
            <w:r/>
          </w:p>
        </w:tc>
        <w:tc>
          <w:tcPr>
            <w:tcW w:w="481"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分值</w:t>
            </w:r>
            <w:r>
              <w:rPr>
                <w:rFonts w:hint="eastAsia" w:ascii="宋体" w:hAnsi="宋体"/>
                <w:color w:val="auto"/>
                <w:sz w:val="24"/>
                <w:szCs w:val="28"/>
                <w:highlight w:val="none"/>
              </w:rPr>
              <w:t xml:space="preserve">（分）</w:t>
            </w:r>
            <w:r/>
          </w:p>
        </w:tc>
      </w:tr>
      <w:tr>
        <w:trPr>
          <w:trHeight w:val="465"/>
        </w:trPr>
        <w:tc>
          <w:tcPr>
            <w:gridSpan w:val="3"/>
            <w:tcW w:w="4519"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投标报价得分</w:t>
            </w:r>
            <w:r/>
          </w:p>
        </w:tc>
        <w:tc>
          <w:tcPr>
            <w:tcW w:w="481"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50</w:t>
            </w:r>
            <w:r>
              <w:rPr>
                <w:rFonts w:ascii="宋体" w:hAnsi="宋体"/>
                <w:color w:val="auto"/>
                <w:sz w:val="24"/>
                <w:szCs w:val="28"/>
                <w:highlight w:val="none"/>
              </w:rPr>
              <w:t xml:space="preserve">.0</w:t>
            </w:r>
            <w:r/>
          </w:p>
        </w:tc>
      </w:tr>
      <w:tr>
        <w:trPr>
          <w:trHeight w:val="1207"/>
        </w:trPr>
        <w:tc>
          <w:tcPr>
            <w:tcW w:w="288"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p>
        </w:tc>
        <w:tc>
          <w:tcPr>
            <w:tcW w:w="569" w:type="pct"/>
            <w:vAlign w:val="center"/>
            <w:textDirection w:val="lrTb"/>
            <w:noWrap w:val="false"/>
          </w:tcPr>
          <w:p>
            <w:pPr>
              <w:jc w:val="center"/>
              <w:spacing w:line="360" w:lineRule="auto"/>
              <w:rPr>
                <w:rFonts w:ascii="宋体" w:hAnsi="宋体"/>
                <w:color w:val="auto"/>
                <w:sz w:val="24"/>
                <w:szCs w:val="28"/>
                <w:highlight w:val="none"/>
              </w:rPr>
            </w:pPr>
            <w:r>
              <w:rPr>
                <w:rFonts w:ascii="宋体" w:hAnsi="宋体"/>
                <w:color w:val="auto"/>
                <w:sz w:val="24"/>
                <w:szCs w:val="28"/>
                <w:highlight w:val="none"/>
              </w:rPr>
              <w:t xml:space="preserve">投标报价</w:t>
            </w:r>
            <w:r/>
          </w:p>
        </w:tc>
        <w:tc>
          <w:tcPr>
            <w:tcW w:w="3662" w:type="pct"/>
            <w:textDirection w:val="lrTb"/>
            <w:noWrap w:val="false"/>
          </w:tcPr>
          <w:p>
            <w:pPr>
              <w:jc w:val="left"/>
              <w:spacing w:line="360" w:lineRule="auto"/>
              <w:rPr>
                <w:rFonts w:ascii="宋体" w:hAnsi="宋体"/>
                <w:color w:val="auto"/>
                <w:sz w:val="24"/>
                <w:szCs w:val="28"/>
                <w:highlight w:val="none"/>
              </w:rPr>
            </w:pPr>
            <w:r>
              <w:rPr>
                <w:rFonts w:ascii="宋体" w:hAnsi="宋体"/>
                <w:color w:val="auto"/>
                <w:sz w:val="24"/>
                <w:szCs w:val="28"/>
                <w:highlight w:val="none"/>
              </w:rPr>
              <w:t xml:space="preserve">综合评分法中的价格分采用低价优先法计算，即满足招标文件要求且投标价格最低的投标报价为评标基准价，其价格分为满分</w:t>
            </w:r>
            <w:r>
              <w:rPr>
                <w:rFonts w:hint="eastAsia" w:ascii="宋体" w:hAnsi="宋体"/>
                <w:color w:val="auto"/>
                <w:sz w:val="24"/>
                <w:szCs w:val="28"/>
                <w:highlight w:val="none"/>
              </w:rPr>
              <w:t xml:space="preserve">50</w:t>
            </w:r>
            <w:r>
              <w:rPr>
                <w:rFonts w:ascii="宋体" w:hAnsi="宋体"/>
                <w:color w:val="auto"/>
                <w:sz w:val="24"/>
                <w:szCs w:val="28"/>
                <w:highlight w:val="none"/>
              </w:rPr>
              <w:t xml:space="preserve">分。其他投标人的价格分统一按照下列公式计算(得分保留到小数点后2位，四舍五入)：投标报价得分= (评标基准价／投标报价)×</w:t>
            </w:r>
            <w:r>
              <w:rPr>
                <w:rFonts w:hint="eastAsia" w:ascii="宋体" w:hAnsi="宋体"/>
                <w:color w:val="auto"/>
                <w:sz w:val="24"/>
                <w:szCs w:val="28"/>
                <w:highlight w:val="none"/>
              </w:rPr>
              <w:t xml:space="preserve">50</w:t>
            </w:r>
            <w:r>
              <w:rPr>
                <w:rFonts w:ascii="宋体" w:hAnsi="宋体"/>
                <w:color w:val="auto"/>
                <w:sz w:val="24"/>
                <w:szCs w:val="28"/>
                <w:highlight w:val="none"/>
              </w:rPr>
              <w:t xml:space="preserve">。</w:t>
            </w:r>
            <w:r/>
          </w:p>
          <w:p>
            <w:pPr>
              <w:jc w:val="left"/>
              <w:spacing w:line="360" w:lineRule="auto"/>
              <w:rPr>
                <w:rFonts w:ascii="宋体" w:hAnsi="宋体"/>
                <w:color w:val="auto"/>
                <w:sz w:val="24"/>
                <w:szCs w:val="28"/>
                <w:highlight w:val="none"/>
              </w:rPr>
            </w:pPr>
            <w:r>
              <w:rPr>
                <w:rFonts w:ascii="宋体" w:hAnsi="宋体"/>
                <w:color w:val="auto"/>
                <w:sz w:val="24"/>
                <w:szCs w:val="28"/>
                <w:highlight w:val="none"/>
              </w:rPr>
              <w:t xml:space="preserve">注：根据财政部、工信部《政府采购促进中小企业发展办法》相关要求，对小型和微型企业提供服务的，对小型和微型企业提供服务的，对其价格给予10%的调减，以调减后的价格计算价格分。《中小企业声明函》填写格式见第</w:t>
            </w:r>
            <w:r>
              <w:rPr>
                <w:rFonts w:hint="eastAsia" w:ascii="宋体" w:hAnsi="宋体"/>
                <w:color w:val="auto"/>
                <w:sz w:val="24"/>
                <w:szCs w:val="28"/>
                <w:highlight w:val="none"/>
              </w:rPr>
              <w:t xml:space="preserve">五</w:t>
            </w:r>
            <w:r>
              <w:rPr>
                <w:rFonts w:ascii="宋体" w:hAnsi="宋体"/>
                <w:color w:val="auto"/>
                <w:sz w:val="24"/>
                <w:szCs w:val="28"/>
                <w:highlight w:val="none"/>
              </w:rPr>
              <w:t xml:space="preserve">部分</w:t>
            </w:r>
            <w:r>
              <w:rPr>
                <w:rFonts w:hint="eastAsia" w:ascii="宋体" w:hAnsi="宋体"/>
                <w:color w:val="auto"/>
                <w:sz w:val="24"/>
                <w:szCs w:val="28"/>
                <w:highlight w:val="none"/>
              </w:rPr>
              <w:t xml:space="preserve">投标</w:t>
            </w:r>
            <w:r>
              <w:rPr>
                <w:rFonts w:ascii="宋体" w:hAnsi="宋体"/>
                <w:color w:val="auto"/>
                <w:sz w:val="24"/>
                <w:szCs w:val="28"/>
                <w:highlight w:val="none"/>
              </w:rPr>
              <w:t xml:space="preserve">响应文件格式。</w:t>
            </w:r>
            <w:r/>
          </w:p>
          <w:p>
            <w:pPr>
              <w:jc w:val="left"/>
              <w:spacing w:line="360" w:lineRule="auto"/>
              <w:rPr>
                <w:rFonts w:ascii="宋体" w:hAnsi="宋体"/>
                <w:color w:val="auto"/>
                <w:sz w:val="24"/>
                <w:szCs w:val="28"/>
                <w:highlight w:val="none"/>
              </w:rPr>
            </w:pPr>
            <w:r>
              <w:rPr>
                <w:rFonts w:ascii="宋体" w:hAnsi="宋体"/>
                <w:color w:val="auto"/>
                <w:sz w:val="24"/>
                <w:szCs w:val="28"/>
                <w:highlight w:val="none"/>
              </w:rPr>
              <w:t xml:space="preserve">根据《财政部 司法部关于政府采购支持监狱企业发展有关问题的通知》（财库〔2014〕68 号）要求，监狱和戒毒企业视同小型、微型企业，享受与小型、微型企业产品价格同比例扣除的优惠政策。监狱和戒毒企业应当提供由省级以上监狱管理局、戒毒 管理局（含新疆生产建设兵团）出具的属于监狱企业的有效证明文件。</w:t>
            </w:r>
            <w:r/>
          </w:p>
          <w:p>
            <w:pPr>
              <w:jc w:val="left"/>
              <w:spacing w:line="360" w:lineRule="auto"/>
              <w:rPr>
                <w:rFonts w:ascii="宋体" w:hAnsi="宋体"/>
                <w:color w:val="auto"/>
                <w:sz w:val="24"/>
                <w:szCs w:val="28"/>
                <w:highlight w:val="none"/>
              </w:rPr>
            </w:pPr>
            <w:r>
              <w:rPr>
                <w:rFonts w:ascii="宋体" w:hAnsi="宋体"/>
                <w:color w:val="auto"/>
                <w:sz w:val="24"/>
                <w:szCs w:val="28"/>
                <w:highlight w:val="none"/>
              </w:rPr>
              <w:t xml:space="preserve">根据《关于促进残疾人就业政府采购政策的通知》（财库〔2017〕141 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W w:w="481" w:type="pct"/>
            <w:vAlign w:val="center"/>
            <w:textDirection w:val="lrTb"/>
            <w:noWrap w:val="false"/>
          </w:tcPr>
          <w:p>
            <w:pPr>
              <w:jc w:val="center"/>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50</w:t>
            </w:r>
            <w:r>
              <w:rPr>
                <w:rFonts w:ascii="宋体" w:hAnsi="宋体"/>
                <w:color w:val="auto"/>
                <w:sz w:val="24"/>
                <w:szCs w:val="28"/>
                <w:highlight w:val="none"/>
              </w:rPr>
              <w:t xml:space="preserve">.0</w:t>
            </w:r>
            <w:bookmarkEnd w:id="241"/>
            <w:r/>
            <w:bookmarkEnd w:id="242"/>
            <w:r/>
            <w:r/>
          </w:p>
        </w:tc>
      </w:tr>
    </w:tbl>
    <w:p>
      <w:pPr>
        <w:spacing w:line="360" w:lineRule="auto"/>
        <w:rPr>
          <w:rFonts w:cs="宋体" w:asciiTheme="minorEastAsia" w:hAnsiTheme="minorEastAsia" w:eastAsiaTheme="minorEastAsia"/>
          <w:color w:val="auto"/>
          <w:sz w:val="22"/>
          <w:highlight w:val="none"/>
        </w:rPr>
      </w:pPr>
      <w:r>
        <w:rPr>
          <w:rFonts w:cs="宋体" w:asciiTheme="minorEastAsia" w:hAnsiTheme="minorEastAsia" w:eastAsiaTheme="minorEastAsia"/>
          <w:color w:val="auto"/>
          <w:sz w:val="22"/>
          <w:highlight w:val="none"/>
        </w:rPr>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9.相同品牌产品的处理原则</w:t>
      </w:r>
      <w:r/>
    </w:p>
    <w:p>
      <w:pPr>
        <w:pStyle w:val="756"/>
        <w:ind w:firstLine="473"/>
        <w:keepLines w:val="0"/>
        <w:keepNext w:val="0"/>
        <w:spacing w:before="0" w:after="0" w:line="360" w:lineRule="auto"/>
        <w:rPr>
          <w:rFonts w:asciiTheme="minorEastAsia" w:hAnsiTheme="minorEastAsia" w:eastAsiaTheme="minorEastAsia"/>
          <w:b w:val="0"/>
          <w:color w:val="auto"/>
          <w:sz w:val="24"/>
          <w:szCs w:val="24"/>
          <w:highlight w:val="none"/>
          <w:lang w:eastAsia="zh-CN"/>
        </w:rPr>
      </w:pPr>
      <w:r>
        <w:rPr>
          <w:rFonts w:hint="eastAsia" w:asciiTheme="minorEastAsia" w:hAnsiTheme="minorEastAsia" w:eastAsiaTheme="minorEastAsia"/>
          <w:b w:val="0"/>
          <w:color w:val="auto"/>
          <w:sz w:val="24"/>
          <w:szCs w:val="24"/>
          <w:highlight w:val="none"/>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10.允许修改评标结果的情形</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10.1评标结果汇总完成后，除下列情形外，任何人不得修改评标结果：</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（1）分值汇总计算错误的；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（2）分项评分超出评分标准范围的；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（3）评标委员会成员对客观评审因素评分不一致的；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（4）经评标委员会认定评分畸高、畸低的。</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3" w:name="_Toc20732998"/>
      <w:r/>
      <w:bookmarkEnd w:id="243"/>
      <w:r/>
      <w:bookmarkStart w:id="244" w:name="_Toc98669361"/>
      <w:r/>
      <w:bookmarkEnd w:id="244"/>
      <w:r/>
      <w:bookmarkStart w:id="245" w:name="_Toc100386064"/>
      <w:r/>
      <w:bookmarkEnd w:id="245"/>
      <w:r/>
      <w:bookmarkStart w:id="246" w:name="_Toc98669719"/>
      <w:r/>
      <w:bookmarkEnd w:id="246"/>
      <w:r/>
      <w:bookmarkStart w:id="247" w:name="_Toc92168030"/>
      <w:r/>
      <w:bookmarkEnd w:id="247"/>
      <w:r/>
      <w:r/>
    </w:p>
    <w:p>
      <w:pPr>
        <w:pStyle w:val="756"/>
        <w:ind w:firstLine="446"/>
        <w:keepLines w:val="0"/>
        <w:keepNext w:val="0"/>
        <w:spacing w:before="200" w:after="200" w:line="360" w:lineRule="auto"/>
        <w:rPr>
          <w:rFonts w:asciiTheme="minorEastAsia" w:hAnsiTheme="minorEastAsia" w:eastAsiaTheme="minorEastAsia"/>
          <w:color w:val="auto"/>
          <w:sz w:val="30"/>
          <w:szCs w:val="30"/>
          <w:highlight w:val="none"/>
          <w:lang w:eastAsia="zh-CN"/>
        </w:rPr>
      </w:pPr>
      <w:r>
        <w:rPr>
          <w:rFonts w:hint="eastAsia" w:asciiTheme="minorEastAsia" w:hAnsiTheme="minorEastAsia" w:eastAsiaTheme="minorEastAsia"/>
          <w:color w:val="auto"/>
          <w:sz w:val="30"/>
          <w:szCs w:val="30"/>
          <w:highlight w:val="none"/>
          <w:lang w:eastAsia="zh-CN"/>
        </w:rPr>
        <w:t xml:space="preserve">11.推荐中标候选人</w:t>
      </w:r>
      <w:r/>
    </w:p>
    <w:p>
      <w:pPr>
        <w:ind w:firstLine="420"/>
        <w:jc w:val="left"/>
        <w:spacing w:line="360" w:lineRule="auto"/>
        <w:widowControl/>
        <w:rPr>
          <w:rFonts w:asciiTheme="minorEastAsia" w:hAnsiTheme="minorEastAsia" w:eastAsiaTheme="minorEastAsia"/>
          <w:color w:val="auto"/>
          <w:sz w:val="24"/>
          <w:highlight w:val="none"/>
        </w:rPr>
      </w:pPr>
      <w:r>
        <w:rPr>
          <w:rFonts w:cs="Wingding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jc w:val="left"/>
        <w:spacing w:line="360" w:lineRule="auto"/>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left"/>
        <w:spacing w:line="360" w:lineRule="auto"/>
        <w:rPr>
          <w:rFonts w:asciiTheme="minorEastAsia" w:hAnsiTheme="minorEastAsia" w:eastAsiaTheme="minorEastAsia"/>
          <w:b/>
          <w:color w:val="auto"/>
          <w:sz w:val="30"/>
          <w:highlight w:val="none"/>
        </w:rPr>
      </w:pPr>
      <w:r>
        <w:rPr>
          <w:rFonts w:hint="eastAsia" w:asciiTheme="minorEastAsia" w:hAnsiTheme="minorEastAsia" w:eastAsiaTheme="minorEastAsia"/>
          <w:b/>
          <w:color w:val="auto"/>
          <w:sz w:val="30"/>
          <w:highlight w:val="none"/>
        </w:rPr>
        <w:t xml:space="preserve">第六部分    投标文件（格式）</w:t>
      </w:r>
      <w:r/>
    </w:p>
    <w:p>
      <w:pPr>
        <w:jc w:val="center"/>
        <w:spacing w:line="360" w:lineRule="auto"/>
        <w:rPr>
          <w:rFonts w:asciiTheme="minorEastAsia" w:hAnsiTheme="minorEastAsia" w:eastAsiaTheme="minorEastAsia"/>
          <w:b/>
          <w:color w:val="auto"/>
          <w:sz w:val="72"/>
          <w:highlight w:val="none"/>
        </w:rPr>
      </w:pPr>
      <w:r>
        <w:rPr>
          <w:rFonts w:asciiTheme="minorEastAsia" w:hAnsiTheme="minorEastAsia" w:eastAsiaTheme="minorEastAsia"/>
          <w:b/>
          <w:color w:val="auto"/>
          <w:sz w:val="72"/>
          <w:highlight w:val="none"/>
        </w:rPr>
      </w:r>
      <w:r/>
    </w:p>
    <w:p>
      <w:pPr>
        <w:jc w:val="center"/>
        <w:spacing w:line="360" w:lineRule="auto"/>
        <w:rPr>
          <w:rFonts w:asciiTheme="minorEastAsia" w:hAnsiTheme="minorEastAsia" w:eastAsiaTheme="minorEastAsia"/>
          <w:color w:val="auto"/>
          <w:sz w:val="72"/>
          <w:highlight w:val="none"/>
        </w:rPr>
      </w:pPr>
      <w:r>
        <w:rPr>
          <w:rFonts w:hint="eastAsia" w:asciiTheme="minorEastAsia" w:hAnsiTheme="minorEastAsia" w:eastAsiaTheme="minorEastAsia"/>
          <w:b/>
          <w:color w:val="auto"/>
          <w:sz w:val="72"/>
          <w:highlight w:val="none"/>
        </w:rPr>
        <w:t xml:space="preserve">投   标   文   件</w:t>
      </w:r>
      <w:r/>
    </w:p>
    <w:p>
      <w:pPr>
        <w:ind w:firstLine="723"/>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ind w:firstLine="643"/>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ind w:firstLine="643"/>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项目编号：</w:t>
      </w:r>
      <w:r>
        <w:rPr>
          <w:rFonts w:hint="eastAsia" w:asciiTheme="minorEastAsia" w:hAnsiTheme="minorEastAsia" w:eastAsiaTheme="minorEastAsia"/>
          <w:b/>
          <w:color w:val="auto"/>
          <w:sz w:val="24"/>
          <w:highlight w:val="none"/>
          <w:u w:val="single"/>
        </w:rPr>
        <w:t xml:space="preserve">××××</w:t>
      </w:r>
      <w:r/>
    </w:p>
    <w:p>
      <w:pPr>
        <w:ind w:firstLine="560"/>
        <w:jc w:val="center"/>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0"/>
        <w:jc w:val="center"/>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0"/>
        <w:jc w:val="center"/>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2"/>
        <w:jc w:val="center"/>
        <w:spacing w:line="360" w:lineRule="auto"/>
        <w:rPr>
          <w:rFonts w:asciiTheme="minorEastAsia" w:hAnsiTheme="minorEastAsia" w:eastAsiaTheme="minorEastAsia"/>
          <w:b/>
          <w:color w:val="auto"/>
          <w:sz w:val="28"/>
          <w:highlight w:val="none"/>
        </w:rPr>
      </w:pPr>
      <w:r>
        <w:rPr>
          <w:rFonts w:asciiTheme="minorEastAsia" w:hAnsiTheme="minorEastAsia" w:eastAsiaTheme="minorEastAsia"/>
          <w:b/>
          <w:color w:val="auto"/>
          <w:sz w:val="28"/>
          <w:highlight w:val="none"/>
        </w:rPr>
      </w:r>
      <w:r/>
    </w:p>
    <w:p>
      <w:pPr>
        <w:jc w:val="center"/>
        <w:spacing w:line="360" w:lineRule="auto"/>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项目名称：</w:t>
      </w:r>
      <w:r>
        <w:rPr>
          <w:rFonts w:hint="eastAsia" w:asciiTheme="minorEastAsia" w:hAnsiTheme="minorEastAsia" w:eastAsiaTheme="minorEastAsia"/>
          <w:b/>
          <w:color w:val="auto"/>
          <w:sz w:val="24"/>
          <w:highlight w:val="none"/>
          <w:u w:val="single"/>
        </w:rPr>
        <w:t xml:space="preserve">××××</w:t>
      </w:r>
      <w:r/>
    </w:p>
    <w:p>
      <w:pPr>
        <w:pStyle w:val="877"/>
        <w:ind w:firstLine="643"/>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pStyle w:val="877"/>
        <w:ind w:firstLine="643"/>
        <w:spacing w:line="360" w:lineRule="auto"/>
        <w:rPr>
          <w:rFonts w:asciiTheme="minorEastAsia" w:hAnsiTheme="minorEastAsia" w:eastAsiaTheme="minorEastAsia"/>
          <w:b/>
          <w:color w:val="auto"/>
          <w:sz w:val="32"/>
          <w:highlight w:val="none"/>
        </w:rPr>
      </w:pPr>
      <w:r>
        <w:rPr>
          <w:rFonts w:asciiTheme="minorEastAsia" w:hAnsiTheme="minorEastAsia" w:eastAsiaTheme="minorEastAsia"/>
          <w:b/>
          <w:color w:val="auto"/>
          <w:sz w:val="32"/>
          <w:highlight w:val="none"/>
        </w:rPr>
      </w:r>
      <w:r/>
    </w:p>
    <w:p>
      <w:pPr>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投 标 人（公章）：</w:t>
      </w:r>
      <w:r>
        <w:rPr>
          <w:rFonts w:hint="eastAsia" w:asciiTheme="minorEastAsia" w:hAnsiTheme="minorEastAsia" w:eastAsiaTheme="minorEastAsia"/>
          <w:b/>
          <w:color w:val="auto"/>
          <w:sz w:val="24"/>
          <w:highlight w:val="none"/>
          <w:u w:val="single"/>
        </w:rPr>
        <w:t xml:space="preserve">××××</w:t>
      </w:r>
      <w:r/>
    </w:p>
    <w:p>
      <w:pPr>
        <w:ind w:firstLine="723"/>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ind w:firstLine="723"/>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ind w:firstLine="723"/>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b/>
          <w:color w:val="auto"/>
          <w:sz w:val="32"/>
          <w:highlight w:val="none"/>
        </w:rPr>
        <w:t xml:space="preserve">年</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b/>
          <w:color w:val="auto"/>
          <w:sz w:val="32"/>
          <w:highlight w:val="none"/>
        </w:rPr>
        <w:t xml:space="preserve">月</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b/>
          <w:color w:val="auto"/>
          <w:sz w:val="32"/>
          <w:highlight w:val="none"/>
        </w:rPr>
        <w:t xml:space="preserve">日</w:t>
      </w:r>
      <w:r/>
    </w:p>
    <w:p>
      <w:pPr>
        <w:pStyle w:val="755"/>
        <w:ind w:firstLine="643"/>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一、资格部分</w:t>
      </w:r>
      <w:r/>
    </w:p>
    <w:p>
      <w:pPr>
        <w:pStyle w:val="755"/>
        <w:ind w:firstLine="643"/>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（一）投标函</w:t>
      </w:r>
      <w:r/>
    </w:p>
    <w:p>
      <w:pPr>
        <w:spacing w:line="360" w:lineRule="auto"/>
        <w:rPr>
          <w:rFonts w:asciiTheme="minorEastAsia" w:hAnsiTheme="minorEastAsia" w:eastAsiaTheme="minorEastAsia"/>
          <w:b/>
          <w:bCs/>
          <w:color w:val="auto"/>
          <w:sz w:val="30"/>
          <w:highlight w:val="none"/>
        </w:rPr>
      </w:pPr>
      <w:r>
        <w:rPr>
          <w:rFonts w:hint="eastAsia" w:asciiTheme="minorEastAsia" w:hAnsiTheme="minorEastAsia" w:eastAsiaTheme="minorEastAsia"/>
          <w:b/>
          <w:color w:val="auto"/>
          <w:sz w:val="24"/>
          <w:highlight w:val="none"/>
          <w:u w:val="single"/>
        </w:rPr>
        <w:t xml:space="preserve">致×××</w:t>
      </w:r>
      <w:r>
        <w:rPr>
          <w:rFonts w:hint="eastAsia" w:asciiTheme="minorEastAsia" w:hAnsiTheme="minorEastAsia" w:eastAsiaTheme="minorEastAsia"/>
          <w:b/>
          <w:color w:val="auto"/>
          <w:sz w:val="24"/>
          <w:szCs w:val="16"/>
          <w:highlight w:val="none"/>
          <w:u w:val="single"/>
        </w:rPr>
        <w:t xml:space="preserve">×（采购代理机构）</w:t>
      </w:r>
      <w:r>
        <w:rPr>
          <w:rFonts w:hint="eastAsia" w:asciiTheme="minorEastAsia" w:hAnsiTheme="minorEastAsia" w:eastAsiaTheme="minorEastAsia"/>
          <w:b/>
          <w:bCs/>
          <w:color w:val="auto"/>
          <w:sz w:val="30"/>
          <w:highlight w:val="none"/>
        </w:rPr>
        <w:t xml:space="preserve">：</w:t>
      </w:r>
      <w:r/>
    </w:p>
    <w:p>
      <w:pPr>
        <w:pStyle w:val="877"/>
        <w:ind w:left="0" w:firstLine="560"/>
        <w:jc w:val="both"/>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4"/>
          <w:highlight w:val="none"/>
        </w:rPr>
        <w:t xml:space="preserve">根据贵方</w:t>
      </w:r>
      <w:r>
        <w:rPr>
          <w:rFonts w:hint="eastAsia" w:asciiTheme="minorEastAsia" w:hAnsiTheme="minorEastAsia" w:eastAsiaTheme="minorEastAsia"/>
          <w:color w:val="auto"/>
          <w:sz w:val="28"/>
          <w:szCs w:val="28"/>
          <w:highlight w:val="none"/>
        </w:rPr>
        <w:t xml:space="preserve">关于</w:t>
      </w:r>
      <w:r>
        <w:rPr>
          <w:rFonts w:hint="eastAsia" w:cs="Times New Roman" w:asciiTheme="minorEastAsia" w:hAnsiTheme="minorEastAsia" w:eastAsiaTheme="minorEastAsia"/>
          <w:b/>
          <w:color w:val="auto"/>
          <w:sz w:val="24"/>
          <w:szCs w:val="16"/>
          <w:highlight w:val="none"/>
          <w:u w:val="single"/>
        </w:rPr>
        <w:t xml:space="preserve">××××（项目名称）（项目编号：××××）</w:t>
      </w:r>
      <w:r>
        <w:rPr>
          <w:rFonts w:hint="eastAsia" w:asciiTheme="minorEastAsia" w:hAnsiTheme="minorEastAsia" w:eastAsiaTheme="minorEastAsia"/>
          <w:color w:val="auto"/>
          <w:sz w:val="28"/>
          <w:szCs w:val="24"/>
          <w:highlight w:val="none"/>
        </w:rPr>
        <w:t xml:space="preserve">的投标邀请</w:t>
      </w:r>
      <w:r>
        <w:rPr>
          <w:rFonts w:hint="eastAsia" w:asciiTheme="minorEastAsia" w:hAnsiTheme="minorEastAsia" w:eastAsiaTheme="minorEastAsia"/>
          <w:color w:val="auto"/>
          <w:sz w:val="28"/>
          <w:szCs w:val="28"/>
          <w:highlight w:val="none"/>
        </w:rPr>
        <w:t xml:space="preserve">，我方已完全理解招标文件的所有内容。</w:t>
      </w:r>
      <w:r/>
    </w:p>
    <w:p>
      <w:pPr>
        <w:pStyle w:val="841"/>
        <w:ind w:left="1"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据此函，我方兹宣布同意如下：</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1．按招标文件规定提供货物的唯一投标报价见开标一览表。</w: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Theme="minorEastAsia" w:hAnsiTheme="minorEastAsia" w:eastAsiaTheme="minorEastAsia"/>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Theme="minorEastAsia" w:hAnsiTheme="minorEastAsia" w:eastAsiaTheme="minorEastAsia"/>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3．我方已</w:t>
      </w:r>
      <w:r>
        <w:rPr>
          <w:rFonts w:hint="eastAsia" w:asciiTheme="minorEastAsia" w:hAnsiTheme="minorEastAsia" w:eastAsiaTheme="minorEastAsia"/>
          <w:color w:val="auto"/>
          <w:sz w:val="28"/>
          <w:highlight w:val="none"/>
        </w:rPr>
        <w:t xml:space="preserve">详读</w:t>
      </w:r>
      <w:r>
        <w:rPr>
          <w:rFonts w:hint="eastAsia" w:asciiTheme="minorEastAsia" w:hAnsiTheme="minorEastAsia" w:eastAsiaTheme="minorEastAsia"/>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4．</w:t>
      </w:r>
      <w:r>
        <w:rPr>
          <w:rFonts w:hint="eastAsia" w:asciiTheme="minorEastAsia" w:hAnsiTheme="minorEastAsia" w:eastAsiaTheme="minorEastAsia"/>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10．遵守招标文件中要求的收费项目和标准。</w:t>
      </w:r>
      <w:r/>
    </w:p>
    <w:p>
      <w:pPr>
        <w:ind w:firstLine="560"/>
        <w:spacing w:line="360" w:lineRule="auto"/>
        <w:tabs>
          <w:tab w:val="left" w:pos="1125"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11．与本投标有关的一切正式往来通讯请寄：</w:t>
      </w:r>
      <w:r/>
    </w:p>
    <w:p>
      <w:pPr>
        <w:pStyle w:val="841"/>
        <w:ind w:firstLine="560"/>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szCs w:val="24"/>
          <w:highlight w:val="none"/>
        </w:rPr>
        <w:t xml:space="preserve">地址： </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szCs w:val="24"/>
          <w:highlight w:val="none"/>
        </w:rPr>
        <w:t xml:space="preserve">                  电话： </w:t>
      </w:r>
      <w:r>
        <w:rPr>
          <w:rFonts w:hint="eastAsia" w:asciiTheme="minorEastAsia" w:hAnsiTheme="minorEastAsia" w:eastAsiaTheme="minorEastAsia"/>
          <w:b/>
          <w:color w:val="auto"/>
          <w:sz w:val="24"/>
          <w:highlight w:val="none"/>
          <w:u w:val="single"/>
        </w:rPr>
        <w:t xml:space="preserve">××</w:t>
      </w:r>
      <w:r/>
    </w:p>
    <w:p>
      <w:pPr>
        <w:pStyle w:val="841"/>
        <w:ind w:firstLine="560"/>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szCs w:val="24"/>
          <w:highlight w:val="none"/>
        </w:rPr>
        <w:t xml:space="preserve">传真：</w:t>
      </w:r>
      <w:r>
        <w:rPr>
          <w:rFonts w:hint="eastAsia" w:asciiTheme="minorEastAsia" w:hAnsiTheme="minorEastAsia" w:eastAsiaTheme="minorEastAsia"/>
          <w:b/>
          <w:color w:val="auto"/>
          <w:sz w:val="24"/>
          <w:highlight w:val="none"/>
          <w:u w:val="single"/>
        </w:rPr>
        <w:t xml:space="preserve">×× </w:t>
      </w:r>
      <w:r>
        <w:rPr>
          <w:rFonts w:hint="eastAsia" w:asciiTheme="minorEastAsia" w:hAnsiTheme="minorEastAsia" w:eastAsiaTheme="minorEastAsia"/>
          <w:color w:val="auto"/>
          <w:sz w:val="28"/>
          <w:szCs w:val="24"/>
          <w:highlight w:val="none"/>
        </w:rPr>
        <w:t xml:space="preserve">                邮政编码：</w:t>
      </w:r>
      <w:r>
        <w:rPr>
          <w:rFonts w:hint="eastAsia" w:asciiTheme="minorEastAsia" w:hAnsiTheme="minorEastAsia" w:eastAsiaTheme="minorEastAsia"/>
          <w:b/>
          <w:color w:val="auto"/>
          <w:sz w:val="24"/>
          <w:highlight w:val="none"/>
          <w:u w:val="single"/>
        </w:rPr>
        <w:t xml:space="preserve">××</w:t>
      </w:r>
      <w:r/>
    </w:p>
    <w:p>
      <w:pPr>
        <w:pStyle w:val="841"/>
        <w:ind w:firstLine="560"/>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szCs w:val="24"/>
          <w:highlight w:val="none"/>
        </w:rPr>
        <w:t xml:space="preserve">投标人（公章）：</w:t>
      </w:r>
      <w:r>
        <w:rPr>
          <w:rFonts w:hint="eastAsia" w:asciiTheme="minorEastAsia" w:hAnsiTheme="minorEastAsia" w:eastAsiaTheme="minorEastAsia"/>
          <w:b/>
          <w:color w:val="auto"/>
          <w:sz w:val="24"/>
          <w:highlight w:val="none"/>
          <w:u w:val="single"/>
        </w:rPr>
        <w:t xml:space="preserve">××</w:t>
      </w:r>
      <w:r/>
    </w:p>
    <w:p>
      <w:pPr>
        <w:pStyle w:val="841"/>
        <w:ind w:firstLine="560"/>
        <w:spacing w:line="360" w:lineRule="auto"/>
        <w:rPr>
          <w:rFonts w:asciiTheme="minorEastAsia" w:hAnsiTheme="minorEastAsia" w:eastAsiaTheme="minorEastAsia"/>
          <w:color w:val="auto"/>
          <w:sz w:val="28"/>
          <w:szCs w:val="24"/>
          <w:highlight w:val="none"/>
        </w:rPr>
      </w:pPr>
      <w:r>
        <w:rPr>
          <w:rFonts w:hint="eastAsia" w:asciiTheme="minorEastAsia" w:hAnsiTheme="minorEastAsia" w:eastAsiaTheme="minorEastAsia"/>
          <w:color w:val="auto"/>
          <w:sz w:val="28"/>
          <w:highlight w:val="none"/>
        </w:rPr>
        <w:t xml:space="preserve">法定代表人签字或盖章</w:t>
      </w:r>
      <w:r>
        <w:rPr>
          <w:rFonts w:hint="eastAsia" w:asciiTheme="minorEastAsia" w:hAnsiTheme="minorEastAsia" w:eastAsiaTheme="minorEastAsia"/>
          <w:color w:val="auto"/>
          <w:sz w:val="28"/>
          <w:szCs w:val="24"/>
          <w:highlight w:val="none"/>
        </w:rPr>
        <w:t xml:space="preserve">： </w:t>
      </w:r>
      <w:r>
        <w:rPr>
          <w:rFonts w:hint="eastAsia" w:asciiTheme="minorEastAsia" w:hAnsiTheme="minorEastAsia" w:eastAsiaTheme="minorEastAsia"/>
          <w:b/>
          <w:color w:val="auto"/>
          <w:sz w:val="24"/>
          <w:highlight w:val="none"/>
          <w:u w:val="single"/>
        </w:rPr>
        <w:t xml:space="preserve">××</w:t>
      </w:r>
      <w:r/>
    </w:p>
    <w:p>
      <w:pPr>
        <w:pStyle w:val="841"/>
        <w:ind w:right="1060" w:firstLine="560"/>
        <w:jc w:val="right"/>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highlight w:val="none"/>
        </w:rPr>
        <w:t xml:space="preserve">日期： </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highlight w:val="none"/>
        </w:rPr>
        <w:t xml:space="preserve">年</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highlight w:val="none"/>
        </w:rPr>
        <w:t xml:space="preserve">月</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highlight w:val="none"/>
        </w:rPr>
        <w:t xml:space="preserve">日</w:t>
      </w:r>
      <w:r/>
    </w:p>
    <w:p>
      <w:pPr>
        <w:pStyle w:val="755"/>
        <w:ind w:firstLine="883"/>
        <w:spacing w:line="360" w:lineRule="auto"/>
        <w:rPr>
          <w:rFonts w:asciiTheme="minorEastAsia" w:hAnsiTheme="minorEastAsia" w:eastAsiaTheme="minorEastAsia"/>
          <w:color w:val="auto"/>
          <w:sz w:val="32"/>
          <w:highlight w:val="none"/>
        </w:rPr>
      </w:pPr>
      <w:r>
        <w:rPr>
          <w:rFonts w:asciiTheme="minorEastAsia" w:hAnsiTheme="minorEastAsia" w:eastAsiaTheme="minorEastAsia"/>
          <w:color w:val="auto"/>
          <w:highlight w:val="none"/>
        </w:rPr>
        <w:br w:type="page" w:clear="all"/>
      </w:r>
      <w:r>
        <w:rPr>
          <w:rFonts w:hint="eastAsia" w:asciiTheme="minorEastAsia" w:hAnsiTheme="minorEastAsia" w:eastAsiaTheme="minorEastAsia"/>
          <w:color w:val="auto"/>
          <w:sz w:val="32"/>
          <w:highlight w:val="none"/>
        </w:rPr>
        <w:t xml:space="preserve">（二）独立承担民事责任的能力</w:t>
      </w:r>
      <w:r/>
    </w:p>
    <w:p>
      <w:pPr>
        <w:ind w:firstLine="560"/>
        <w:jc w:val="center"/>
        <w:spacing w:line="360" w:lineRule="auto"/>
        <w:rPr>
          <w:rFonts w:asciiTheme="minorEastAsia" w:hAnsiTheme="minorEastAsia" w:eastAsiaTheme="minorEastAsia"/>
          <w:b/>
          <w:color w:val="auto"/>
          <w:sz w:val="32"/>
          <w:highlight w:val="none"/>
        </w:rPr>
      </w:pPr>
      <w:r>
        <w:rPr>
          <w:rFonts w:hint="eastAsia" w:asciiTheme="minorEastAsia" w:hAnsiTheme="minorEastAsia" w:eastAsiaTheme="minorEastAsia"/>
          <w:b/>
          <w:color w:val="auto"/>
          <w:sz w:val="28"/>
          <w:szCs w:val="28"/>
          <w:highlight w:val="none"/>
        </w:rPr>
        <w:t xml:space="preserve">提供法人或者其他组织的营业执照等证明文件扫描件；投标人为自然人的，提供其身份证复印件</w:t>
      </w:r>
      <w:r>
        <w:rPr>
          <w:rFonts w:asciiTheme="minorEastAsia" w:hAnsiTheme="minorEastAsia" w:eastAsiaTheme="minorEastAsia"/>
          <w:b/>
          <w:color w:val="auto"/>
          <w:sz w:val="32"/>
          <w:highlight w:val="none"/>
        </w:rPr>
        <w:br w:type="page" w:clear="all"/>
      </w:r>
      <w:r>
        <w:rPr>
          <w:rFonts w:hint="eastAsia" w:asciiTheme="minorEastAsia" w:hAnsiTheme="minorEastAsia" w:eastAsiaTheme="minorEastAsia"/>
          <w:b/>
          <w:color w:val="auto"/>
          <w:sz w:val="32"/>
          <w:highlight w:val="none"/>
        </w:rPr>
        <w:t xml:space="preserve">（三）良好的商业信誉和健全的财务会计制度</w:t>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提供2025年度财务报告、成立不满一年的提供至少一个月财务报告，或银行出具的资信证明，或财政部门认可的政府采购专业担保机构出具的投标担保函等，或提供</w:t>
      </w:r>
      <w:bookmarkStart w:id="248" w:name="_Hlk131494070"/>
      <w:r>
        <w:rPr>
          <w:rFonts w:hint="eastAsia" w:asciiTheme="minorEastAsia" w:hAnsiTheme="minorEastAsia" w:eastAsiaTheme="minorEastAsia"/>
          <w:color w:val="auto"/>
          <w:sz w:val="28"/>
          <w:szCs w:val="28"/>
          <w:highlight w:val="none"/>
        </w:rPr>
        <w:t xml:space="preserve">资格承诺函</w:t>
      </w:r>
      <w:bookmarkEnd w:id="248"/>
      <w:r/>
      <w:bookmarkStart w:id="249" w:name="_Hlk131494108"/>
      <w:r>
        <w:rPr>
          <w:rFonts w:hint="eastAsia" w:asciiTheme="minorEastAsia" w:hAnsiTheme="minorEastAsia" w:eastAsiaTheme="minorEastAsia"/>
          <w:color w:val="auto"/>
          <w:sz w:val="28"/>
          <w:szCs w:val="28"/>
          <w:highlight w:val="none"/>
        </w:rPr>
        <w:t xml:space="preserve">）</w:t>
      </w:r>
      <w:bookmarkEnd w:id="249"/>
      <w:r>
        <w:rPr>
          <w:rFonts w:hint="eastAsia" w:asciiTheme="minorEastAsia" w:hAnsiTheme="minorEastAsia" w:eastAsiaTheme="minorEastAsia"/>
          <w:color w:val="auto"/>
          <w:sz w:val="28"/>
          <w:szCs w:val="28"/>
          <w:highlight w:val="none"/>
        </w:rPr>
        <w:t xml:space="preserve">。</w:t>
      </w:r>
      <w:r/>
    </w:p>
    <w:p>
      <w:pPr>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br w:type="page" w:clear="all"/>
      </w:r>
      <w:r/>
    </w:p>
    <w:p>
      <w:pPr>
        <w:pStyle w:val="755"/>
        <w:numPr>
          <w:ilvl w:val="0"/>
          <w:numId w:val="4"/>
        </w:numPr>
        <w:ind w:firstLine="643"/>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履行合同所必需的设备和专业技术能力</w:t>
      </w:r>
      <w:r/>
    </w:p>
    <w:p>
      <w:pPr>
        <w:pStyle w:val="2347"/>
        <w:jc w:val="center"/>
        <w:spacing w:line="360" w:lineRule="auto"/>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填写下述声明或提供资格承诺函（见本部分（</w:t>
      </w:r>
      <w:r>
        <w:rPr>
          <w:rFonts w:hint="eastAsia" w:cs="宋体" w:asciiTheme="minorEastAsia" w:hAnsiTheme="minorEastAsia" w:eastAsiaTheme="minorEastAsia"/>
          <w:color w:val="auto"/>
          <w:sz w:val="28"/>
          <w:szCs w:val="28"/>
          <w:highlight w:val="none"/>
        </w:rPr>
        <w:t xml:space="preserve">十</w:t>
      </w:r>
      <w:r>
        <w:rPr>
          <w:rFonts w:hint="eastAsia" w:cs="宋体" w:asciiTheme="minorEastAsia" w:hAnsiTheme="minorEastAsia" w:eastAsiaTheme="minorEastAsia"/>
          <w:color w:val="auto"/>
          <w:sz w:val="28"/>
          <w:szCs w:val="28"/>
          <w:highlight w:val="none"/>
        </w:rPr>
        <w:t xml:space="preserve">）资格承诺函）</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具备履行合同所必需的设备和专业技术能力的书面声明</w:t>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主要设备有： </w:t>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 xml:space="preserve">主要专业技术能力有：</w:t>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ind w:firstLine="480"/>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ind w:firstLine="480"/>
        <w:jc w:val="right"/>
        <w:spacing w:line="360" w:lineRule="auto"/>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供应商</w:t>
      </w:r>
      <w:r>
        <w:rPr>
          <w:rFonts w:cs="宋体" w:asciiTheme="minorEastAsia" w:hAnsiTheme="minorEastAsia" w:eastAsiaTheme="minorEastAsia"/>
          <w:color w:val="auto"/>
          <w:sz w:val="28"/>
          <w:szCs w:val="28"/>
          <w:highlight w:val="none"/>
        </w:rPr>
        <w:t xml:space="preserve">名称(公章)： </w:t>
      </w:r>
      <w:r/>
    </w:p>
    <w:p>
      <w:pPr>
        <w:pStyle w:val="2347"/>
        <w:ind w:firstLine="720"/>
        <w:jc w:val="center"/>
        <w:spacing w:line="360" w:lineRule="auto"/>
        <w:rPr>
          <w:rFonts w:asciiTheme="minorEastAsia" w:hAnsiTheme="minorEastAsia" w:eastAsiaTheme="minorEastAsia"/>
          <w:color w:val="auto"/>
          <w:sz w:val="28"/>
          <w:szCs w:val="24"/>
          <w:highlight w:val="none"/>
          <w:u w:val="single"/>
        </w:rPr>
      </w:pPr>
      <w:r>
        <w:rPr>
          <w:rFonts w:cs="宋体" w:asciiTheme="minorEastAsia" w:hAnsiTheme="minorEastAsia" w:eastAsiaTheme="minorEastAsia"/>
          <w:color w:val="auto"/>
          <w:sz w:val="28"/>
          <w:szCs w:val="28"/>
          <w:highlight w:val="none"/>
        </w:rPr>
        <w:t xml:space="preserve">                                         日期：  年   月  日</w:t>
      </w:r>
      <w:r/>
    </w:p>
    <w:p>
      <w:pPr>
        <w:jc w:val="center"/>
        <w:widowControl/>
        <w:rPr>
          <w:rFonts w:asciiTheme="minorEastAsia" w:hAnsiTheme="minorEastAsia" w:eastAsiaTheme="minorEastAsia"/>
          <w:b/>
          <w:color w:val="auto"/>
          <w:sz w:val="32"/>
          <w:highlight w:val="none"/>
        </w:rPr>
      </w:pPr>
      <w:r>
        <w:rPr>
          <w:rFonts w:asciiTheme="minorEastAsia" w:hAnsiTheme="minorEastAsia" w:eastAsiaTheme="minorEastAsia"/>
          <w:b/>
          <w:color w:val="auto"/>
          <w:sz w:val="32"/>
          <w:szCs w:val="20"/>
          <w:highlight w:val="none"/>
        </w:rPr>
        <w:br w:type="page" w:clear="all"/>
      </w:r>
      <w:r>
        <w:rPr>
          <w:rFonts w:hint="eastAsia" w:asciiTheme="minorEastAsia" w:hAnsiTheme="minorEastAsia" w:eastAsiaTheme="minorEastAsia"/>
          <w:b/>
          <w:color w:val="auto"/>
          <w:sz w:val="32"/>
          <w:highlight w:val="none"/>
        </w:rPr>
        <w:t xml:space="preserve">（五）依法缴纳税收和社会保障资金的良好记录</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提供参加本次政府采购活动前半年内至少一个月依法缴纳税收和社会保险的凭据，或提供资格承诺函。</w:t>
      </w:r>
      <w:r/>
    </w:p>
    <w:p>
      <w:pPr>
        <w:pStyle w:val="755"/>
        <w:ind w:firstLine="560"/>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br w:type="page" w:clear="all"/>
      </w:r>
      <w:r/>
    </w:p>
    <w:p>
      <w:pPr>
        <w:pStyle w:val="756"/>
        <w:ind w:firstLine="643"/>
        <w:jc w:val="center"/>
        <w:keepLines w:val="0"/>
        <w:keepNext w:val="0"/>
        <w:spacing w:before="0" w:after="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（六）参加政府采购活动前三年内，在经营活动中没有重大违法记录</w:t>
      </w:r>
      <w:r/>
    </w:p>
    <w:p>
      <w:pPr>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highlight w:val="none"/>
        </w:rPr>
        <w:t xml:space="preserve">（1）投标函或资格承诺函。</w:t>
      </w:r>
      <w:r/>
    </w:p>
    <w:p>
      <w:pPr>
        <w:pStyle w:val="756"/>
        <w:keepLines w:val="0"/>
        <w:keepNext w:val="0"/>
        <w:spacing w:before="0" w:after="0" w:line="360" w:lineRule="auto"/>
        <w:rPr>
          <w:rFonts w:asciiTheme="minorEastAsia" w:hAnsiTheme="minorEastAsia" w:eastAsiaTheme="minorEastAsia"/>
          <w:b w:val="0"/>
          <w:color w:val="auto"/>
          <w:sz w:val="24"/>
          <w:szCs w:val="24"/>
          <w:highlight w:val="none"/>
        </w:rPr>
      </w:pPr>
      <w:r>
        <w:rPr>
          <w:rFonts w:hint="eastAsia" w:asciiTheme="minorEastAsia" w:hAnsiTheme="minorEastAsia" w:eastAsiaTheme="minorEastAsia"/>
          <w:b w:val="0"/>
          <w:color w:val="auto"/>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756"/>
        <w:ind w:firstLine="643"/>
        <w:jc w:val="center"/>
        <w:keepLines w:val="0"/>
        <w:keepNext w:val="0"/>
        <w:spacing w:before="0" w:after="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（七）法律、行政法规规定的其他条件</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无</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756"/>
        <w:ind w:firstLine="643"/>
        <w:jc w:val="center"/>
        <w:keepLines w:val="0"/>
        <w:keepNext w:val="0"/>
        <w:spacing w:before="0" w:after="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（八）落实政府采购政策需满足的资格要求</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hint="default" w:cs="宋体" w:asciiTheme="minorEastAsia" w:hAnsiTheme="minorEastAsia" w:eastAsiaTheme="minorEastAsia"/>
          <w:color w:val="auto"/>
          <w:sz w:val="28"/>
          <w:szCs w:val="28"/>
          <w:highlight w:val="none"/>
          <w:lang w:val="en-US" w:eastAsia="zh-CN"/>
        </w:rPr>
      </w:pPr>
      <w:r>
        <w:rPr>
          <w:rFonts w:hint="eastAsia" w:cs="宋体" w:asciiTheme="minorEastAsia" w:hAnsiTheme="minorEastAsia" w:eastAsiaTheme="minorEastAsia"/>
          <w:color w:val="auto"/>
          <w:sz w:val="28"/>
          <w:szCs w:val="28"/>
          <w:highlight w:val="none"/>
          <w:lang w:val="en-US" w:eastAsia="zh-CN"/>
        </w:rPr>
        <w:t xml:space="preserve">无</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756"/>
        <w:ind w:firstLine="643"/>
        <w:jc w:val="center"/>
        <w:keepLines w:val="0"/>
        <w:keepNext w:val="0"/>
        <w:spacing w:before="0" w:after="0" w:line="360" w:lineRule="auto"/>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（九）本项目的特定资格要求</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color w:val="auto"/>
          <w:sz w:val="28"/>
          <w:szCs w:val="28"/>
          <w:highlight w:val="none"/>
        </w:rPr>
        <w:t xml:space="preserve">无</w:t>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75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（十）资格承诺函</w:t>
      </w:r>
      <w:r/>
    </w:p>
    <w:p>
      <w:pPr>
        <w:pStyle w:val="755"/>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致：</w:t>
      </w:r>
      <w:r>
        <w:rPr>
          <w:rFonts w:hint="eastAsia" w:cs="宋体" w:asciiTheme="minorEastAsia" w:hAnsiTheme="minorEastAsia" w:eastAsiaTheme="minorEastAsia"/>
          <w:b w:val="0"/>
          <w:bCs/>
          <w:color w:val="auto"/>
          <w:sz w:val="28"/>
          <w:szCs w:val="28"/>
          <w:highlight w:val="none"/>
          <w:u w:val="single"/>
        </w:rPr>
        <w:t xml:space="preserve">    </w:t>
      </w:r>
      <w:r>
        <w:rPr>
          <w:rFonts w:hint="eastAsia" w:asciiTheme="minorEastAsia" w:hAnsiTheme="minorEastAsia" w:eastAsiaTheme="minorEastAsia"/>
          <w:b w:val="0"/>
          <w:bCs/>
          <w:color w:val="auto"/>
          <w:sz w:val="28"/>
          <w:szCs w:val="28"/>
          <w:highlight w:val="none"/>
          <w:u w:val="single"/>
        </w:rPr>
        <w:t xml:space="preserve">（采购人、采购代理机构）</w:t>
      </w:r>
      <w:r>
        <w:rPr>
          <w:rFonts w:hint="eastAsia" w:cs="宋体" w:asciiTheme="minorEastAsia" w:hAnsiTheme="minorEastAsia" w:eastAsiaTheme="minorEastAsia"/>
          <w:b w:val="0"/>
          <w:bCs/>
          <w:color w:val="auto"/>
          <w:sz w:val="28"/>
          <w:szCs w:val="28"/>
          <w:highlight w:val="none"/>
          <w:u w:val="single"/>
        </w:rPr>
        <w:t xml:space="preserve">  </w:t>
      </w:r>
      <w:r>
        <w:rPr>
          <w:rFonts w:hint="eastAsia" w:cs="宋体" w:asciiTheme="minorEastAsia" w:hAnsiTheme="minorEastAsia" w:eastAsiaTheme="minorEastAsia"/>
          <w:b w:val="0"/>
          <w:bCs/>
          <w:color w:val="auto"/>
          <w:sz w:val="28"/>
          <w:szCs w:val="28"/>
          <w:highlight w:val="none"/>
        </w:rPr>
        <w:t xml:space="preserve"> </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我单位参与</w:t>
      </w:r>
      <w:r>
        <w:rPr>
          <w:rFonts w:hint="eastAsia" w:cs="宋体" w:asciiTheme="minorEastAsia" w:hAnsiTheme="minorEastAsia" w:eastAsiaTheme="minorEastAsia"/>
          <w:b w:val="0"/>
          <w:bCs/>
          <w:color w:val="auto"/>
          <w:sz w:val="28"/>
          <w:szCs w:val="28"/>
          <w:highlight w:val="none"/>
          <w:u w:val="single"/>
        </w:rPr>
        <w:t xml:space="preserve">  </w:t>
      </w:r>
      <w:r>
        <w:rPr>
          <w:rFonts w:hint="eastAsia" w:asciiTheme="minorEastAsia" w:hAnsiTheme="minorEastAsia" w:eastAsiaTheme="minorEastAsia"/>
          <w:b w:val="0"/>
          <w:bCs/>
          <w:color w:val="auto"/>
          <w:sz w:val="28"/>
          <w:szCs w:val="28"/>
          <w:highlight w:val="none"/>
          <w:u w:val="single"/>
        </w:rPr>
        <w:t xml:space="preserve">（项目名称）</w:t>
      </w:r>
      <w:r>
        <w:rPr>
          <w:rFonts w:hint="eastAsia" w:cs="宋体" w:asciiTheme="minorEastAsia" w:hAnsiTheme="minorEastAsia" w:eastAsiaTheme="minorEastAsia"/>
          <w:b w:val="0"/>
          <w:bCs/>
          <w:color w:val="auto"/>
          <w:sz w:val="28"/>
          <w:szCs w:val="28"/>
          <w:highlight w:val="none"/>
          <w:u w:val="single"/>
        </w:rPr>
        <w:t xml:space="preserve">  </w:t>
      </w:r>
      <w:r>
        <w:rPr>
          <w:rFonts w:hint="eastAsia" w:asciiTheme="minorEastAsia" w:hAnsiTheme="minorEastAsia" w:eastAsiaTheme="minorEastAsia"/>
          <w:b w:val="0"/>
          <w:bCs/>
          <w:color w:val="auto"/>
          <w:sz w:val="28"/>
          <w:szCs w:val="28"/>
          <w:highlight w:val="none"/>
          <w:u w:val="single"/>
        </w:rPr>
        <w:t xml:space="preserve">（项目编号：</w:t>
      </w:r>
      <w:r>
        <w:rPr>
          <w:rFonts w:hint="eastAsia" w:cs="宋体" w:asciiTheme="minorEastAsia" w:hAnsiTheme="minorEastAsia" w:eastAsiaTheme="minorEastAsia"/>
          <w:b w:val="0"/>
          <w:bCs/>
          <w:color w:val="auto"/>
          <w:sz w:val="28"/>
          <w:szCs w:val="28"/>
          <w:highlight w:val="none"/>
          <w:u w:val="single"/>
        </w:rPr>
        <w:t xml:space="preserve">    </w:t>
      </w:r>
      <w:r>
        <w:rPr>
          <w:rFonts w:hint="eastAsia" w:asciiTheme="minorEastAsia" w:hAnsiTheme="minorEastAsia" w:eastAsiaTheme="minorEastAsia"/>
          <w:b w:val="0"/>
          <w:bCs/>
          <w:color w:val="auto"/>
          <w:sz w:val="28"/>
          <w:szCs w:val="28"/>
          <w:highlight w:val="none"/>
          <w:u w:val="single"/>
        </w:rPr>
        <w:t xml:space="preserve">）</w:t>
      </w:r>
      <w:r>
        <w:rPr>
          <w:rFonts w:hint="eastAsia" w:asciiTheme="minorEastAsia" w:hAnsiTheme="minorEastAsia" w:eastAsiaTheme="minorEastAsia"/>
          <w:b w:val="0"/>
          <w:bCs/>
          <w:color w:val="auto"/>
          <w:sz w:val="28"/>
          <w:szCs w:val="28"/>
          <w:highlight w:val="none"/>
        </w:rPr>
        <w:t xml:space="preserve">项目的政府采购活动，现承诺如下：</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1.我方具有良好的商业信誉和健全的财务会计制度。</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2.我方具有履行合同所必需的设备和专业技术能力。</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3.我方具有依法缴纳税收和社会保障资金的良好记录。</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4.我方参加本项目采购活动前三年内，在经营活动中没有重大违法记录。</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若我单位承诺不实，自愿承担提供虚假材料谋取中标、成交的法律责任。</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投标（响应）供应商（全称并盖章）：</w:t>
      </w:r>
      <w:r>
        <w:rPr>
          <w:rFonts w:hint="eastAsia" w:cs="宋体" w:asciiTheme="minorEastAsia" w:hAnsiTheme="minorEastAsia" w:eastAsiaTheme="minorEastAsia"/>
          <w:b w:val="0"/>
          <w:bCs/>
          <w:color w:val="auto"/>
          <w:sz w:val="28"/>
          <w:szCs w:val="28"/>
          <w:highlight w:val="none"/>
        </w:rPr>
        <w:t xml:space="preserve">         </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供应商法定代表人或授权代表（签字或签章）：</w:t>
      </w:r>
      <w:r>
        <w:rPr>
          <w:rFonts w:hint="eastAsia" w:cs="宋体" w:asciiTheme="minorEastAsia" w:hAnsiTheme="minorEastAsia" w:eastAsiaTheme="minorEastAsia"/>
          <w:b w:val="0"/>
          <w:bCs/>
          <w:color w:val="auto"/>
          <w:sz w:val="28"/>
          <w:szCs w:val="28"/>
          <w:highlight w:val="none"/>
        </w:rPr>
        <w:t xml:space="preserve">    </w:t>
      </w:r>
      <w:r/>
    </w:p>
    <w:p>
      <w:pPr>
        <w:pStyle w:val="755"/>
        <w:ind w:firstLine="560"/>
        <w:jc w:val="both"/>
        <w:spacing w:line="360" w:lineRule="auto"/>
        <w:tabs>
          <w:tab w:val="left" w:pos="6930" w:leader="none"/>
        </w:tabs>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日期：</w:t>
      </w:r>
      <w:r>
        <w:rPr>
          <w:rFonts w:hint="eastAsia" w:cs="宋体" w:asciiTheme="minorEastAsia" w:hAnsiTheme="minorEastAsia" w:eastAsiaTheme="minorEastAsia"/>
          <w:b w:val="0"/>
          <w:bCs/>
          <w:color w:val="auto"/>
          <w:sz w:val="28"/>
          <w:szCs w:val="28"/>
          <w:highlight w:val="none"/>
        </w:rPr>
        <w:t xml:space="preserve">     </w:t>
      </w:r>
      <w:r>
        <w:rPr>
          <w:rFonts w:cs="宋体" w:asciiTheme="minorEastAsia" w:hAnsiTheme="minorEastAsia" w:eastAsiaTheme="minorEastAsia"/>
          <w:b w:val="0"/>
          <w:bCs/>
          <w:color w:val="auto"/>
          <w:sz w:val="28"/>
          <w:szCs w:val="28"/>
          <w:highlight w:val="none"/>
        </w:rPr>
        <w:tab/>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w:t>
      </w:r>
      <w:r/>
    </w:p>
    <w:p>
      <w:pPr>
        <w:pStyle w:val="755"/>
        <w:ind w:firstLine="560"/>
        <w:jc w:val="both"/>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说明：1.供应商可自行选择是否提供本承诺函，若不提供本承诺函的，应按采购文件要求提供相应的证明材料。</w:t>
      </w:r>
      <w:r/>
    </w:p>
    <w:p>
      <w:pPr>
        <w:pStyle w:val="755"/>
        <w:ind w:firstLine="560"/>
        <w:jc w:val="left"/>
        <w:spacing w:line="360" w:lineRule="auto"/>
        <w:rPr>
          <w:rFonts w:asciiTheme="minorEastAsia" w:hAnsiTheme="minorEastAsia" w:eastAsiaTheme="minorEastAsia"/>
          <w:b w:val="0"/>
          <w:bCs/>
          <w:color w:val="auto"/>
          <w:sz w:val="28"/>
          <w:szCs w:val="28"/>
          <w:highlight w:val="none"/>
        </w:rPr>
      </w:pPr>
      <w:r>
        <w:rPr>
          <w:rFonts w:hint="eastAsia" w:asciiTheme="minorEastAsia" w:hAnsiTheme="minorEastAsia" w:eastAsiaTheme="minorEastAsia"/>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asciiTheme="minorEastAsia" w:hAnsiTheme="minorEastAsia" w:eastAsiaTheme="minorEastAsia"/>
          <w:color w:val="auto"/>
          <w:highlight w:val="none"/>
        </w:rPr>
        <w:br w:type="page" w:clear="all"/>
      </w:r>
      <w:r/>
    </w:p>
    <w:p>
      <w:pPr>
        <w:pStyle w:val="766"/>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756"/>
        <w:ind w:firstLine="643"/>
        <w:jc w:val="center"/>
        <w:keepLines w:val="0"/>
        <w:keepNext w:val="0"/>
        <w:spacing w:before="0" w:after="0" w:line="360" w:lineRule="auto"/>
        <w:rPr>
          <w:rFonts w:asciiTheme="minorEastAsia" w:hAnsiTheme="minorEastAsia" w:eastAsiaTheme="minorEastAsia"/>
          <w:color w:val="auto"/>
          <w:sz w:val="36"/>
          <w:szCs w:val="36"/>
          <w:highlight w:val="none"/>
          <w:u w:val="single"/>
          <w:lang w:eastAsia="zh-CN"/>
        </w:rPr>
      </w:pPr>
      <w:r>
        <w:rPr>
          <w:rFonts w:hint="eastAsia" w:asciiTheme="minorEastAsia" w:hAnsiTheme="minorEastAsia" w:eastAsiaTheme="minorEastAsia"/>
          <w:color w:val="auto"/>
          <w:szCs w:val="32"/>
          <w:highlight w:val="none"/>
          <w:lang w:eastAsia="zh-CN"/>
        </w:rPr>
        <w:t xml:space="preserve">二、法定代表人（负责人）身份证明书</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兹证明</w:t>
      </w:r>
      <w:r>
        <w:rPr>
          <w:rFonts w:hint="eastAsia" w:asciiTheme="minorEastAsia" w:hAnsiTheme="minorEastAsia" w:eastAsiaTheme="minorEastAsia"/>
          <w:b/>
          <w:color w:val="auto"/>
          <w:sz w:val="24"/>
          <w:highlight w:val="none"/>
          <w:u w:val="single"/>
        </w:rPr>
        <w:t xml:space="preserve">（姓名）</w:t>
      </w:r>
      <w:r>
        <w:rPr>
          <w:rFonts w:hint="eastAsia" w:asciiTheme="minorEastAsia" w:hAnsiTheme="minorEastAsia" w:eastAsiaTheme="minorEastAsia"/>
          <w:color w:val="auto"/>
          <w:sz w:val="28"/>
          <w:szCs w:val="28"/>
          <w:highlight w:val="none"/>
        </w:rPr>
        <w:t xml:space="preserve">同志，性别</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szCs w:val="28"/>
          <w:highlight w:val="none"/>
        </w:rPr>
        <w:t xml:space="preserve">，</w:t>
      </w:r>
      <w:r>
        <w:rPr>
          <w:rFonts w:hint="eastAsia" w:asciiTheme="minorEastAsia" w:hAnsiTheme="minorEastAsia" w:eastAsiaTheme="minorEastAsia"/>
          <w:color w:val="auto"/>
          <w:sz w:val="28"/>
          <w:highlight w:val="none"/>
        </w:rPr>
        <w:t xml:space="preserve">居民身份证号</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szCs w:val="28"/>
          <w:highlight w:val="none"/>
        </w:rPr>
        <w:t xml:space="preserve">，在我单位任</w:t>
      </w:r>
      <w:r>
        <w:rPr>
          <w:rFonts w:hint="eastAsia" w:asciiTheme="minorEastAsia" w:hAnsiTheme="minorEastAsia" w:eastAsiaTheme="minorEastAsia"/>
          <w:b/>
          <w:color w:val="auto"/>
          <w:sz w:val="24"/>
          <w:highlight w:val="none"/>
          <w:u w:val="single"/>
        </w:rPr>
        <w:t xml:space="preserve">×××</w:t>
      </w:r>
      <w:r>
        <w:rPr>
          <w:rFonts w:hint="eastAsia" w:asciiTheme="minorEastAsia" w:hAnsiTheme="minorEastAsia" w:eastAsiaTheme="minorEastAsia"/>
          <w:color w:val="auto"/>
          <w:sz w:val="28"/>
          <w:szCs w:val="28"/>
          <w:highlight w:val="none"/>
        </w:rPr>
        <w:t xml:space="preserve">职务，系我单位主要负责人即法定代表人。</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单位地址：</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电    话：</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单位全称： </w:t>
      </w:r>
      <w:r/>
    </w:p>
    <w:p>
      <w:pPr>
        <w:ind w:firstLine="560"/>
        <w:spacing w:line="360" w:lineRule="auto"/>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auto"/>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公    章： </w:t>
      </w:r>
      <w:r/>
    </w:p>
    <w:p>
      <w:pPr>
        <w:ind w:firstLine="560"/>
        <w:spacing w:line="360" w:lineRule="auto"/>
        <w:tabs>
          <w:tab w:val="left" w:pos="7290" w:leader="none"/>
        </w:tabs>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jc w:val="right"/>
        <w:spacing w:line="360" w:lineRule="auto"/>
        <w:tabs>
          <w:tab w:val="left" w:pos="7290" w:leader="none"/>
        </w:tabs>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  年     月    日</w:t>
      </w:r>
      <w:r/>
    </w:p>
    <w:p>
      <w:pPr>
        <w:ind w:firstLine="643"/>
        <w:jc w:val="left"/>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firstLine="643"/>
        <w:jc w:val="left"/>
        <w:spacing w:line="360" w:lineRule="auto"/>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firstLine="643"/>
        <w:jc w:val="left"/>
        <w:spacing w:line="360" w:lineRule="auto"/>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附：法定代表人居民身份证复印件</w:t>
      </w:r>
      <w:r/>
    </w:p>
    <w:p>
      <w:pPr>
        <w:ind w:firstLine="560"/>
        <w:spacing w:line="360" w:lineRule="auto"/>
        <w:tabs>
          <w:tab w:val="left" w:pos="7290" w:leader="none"/>
        </w:tabs>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u w:val="single"/>
        </w:rPr>
        <w:t xml:space="preserve">注：1.“法定代表人”直接参加投标响应活动的仅需填写本身份证明</w:t>
      </w:r>
      <w:r>
        <w:rPr>
          <w:rFonts w:hint="eastAsia" w:asciiTheme="minorEastAsia" w:hAnsiTheme="minorEastAsia" w:eastAsiaTheme="minorEastAsia"/>
          <w:color w:val="auto"/>
          <w:sz w:val="28"/>
          <w:highlight w:val="none"/>
        </w:rPr>
        <w:t xml:space="preserve">。</w:t>
      </w:r>
      <w:r/>
    </w:p>
    <w:p>
      <w:pPr>
        <w:ind w:firstLine="562"/>
        <w:spacing w:line="360" w:lineRule="auto"/>
        <w:tabs>
          <w:tab w:val="left" w:pos="7290" w:leader="none"/>
        </w:tabs>
        <w:rPr>
          <w:rFonts w:asciiTheme="minorEastAsia" w:hAnsiTheme="minorEastAsia" w:eastAsiaTheme="minorEastAsia"/>
          <w:b/>
          <w:color w:val="auto"/>
          <w:sz w:val="28"/>
          <w:szCs w:val="28"/>
          <w:highlight w:val="none"/>
          <w:u w:val="single"/>
        </w:rPr>
      </w:pPr>
      <w:r>
        <w:rPr>
          <w:rFonts w:hint="eastAsia" w:asciiTheme="minorEastAsia" w:hAnsiTheme="minorEastAsia" w:eastAsiaTheme="minorEastAsia"/>
          <w:b/>
          <w:color w:val="auto"/>
          <w:sz w:val="28"/>
          <w:szCs w:val="28"/>
          <w:highlight w:val="none"/>
          <w:u w:val="single"/>
        </w:rPr>
        <w:t xml:space="preserve">2.投标人</w:t>
      </w:r>
      <w:r>
        <w:rPr>
          <w:rFonts w:asciiTheme="minorEastAsia" w:hAnsiTheme="minorEastAsia" w:eastAsiaTheme="minorEastAsia"/>
          <w:b/>
          <w:color w:val="auto"/>
          <w:sz w:val="28"/>
          <w:szCs w:val="28"/>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Theme="minorEastAsia" w:hAnsiTheme="minorEastAsia" w:eastAsiaTheme="minorEastAsia"/>
          <w:b/>
          <w:color w:val="auto"/>
          <w:sz w:val="32"/>
          <w:szCs w:val="20"/>
          <w:highlight w:val="none"/>
        </w:rPr>
      </w:pPr>
      <w:r>
        <w:rPr>
          <w:rFonts w:asciiTheme="minorEastAsia" w:hAnsiTheme="minorEastAsia" w:eastAsiaTheme="minorEastAsia"/>
          <w:color w:val="auto"/>
          <w:highlight w:val="none"/>
        </w:rPr>
        <w:br w:type="page" w:clear="all"/>
      </w:r>
      <w:r/>
    </w:p>
    <w:p>
      <w:pPr>
        <w:pStyle w:val="756"/>
        <w:ind w:firstLine="643"/>
        <w:jc w:val="center"/>
        <w:keepLines w:val="0"/>
        <w:keepNext w:val="0"/>
        <w:spacing w:before="0" w:after="0" w:line="360" w:lineRule="auto"/>
        <w:rPr>
          <w:rFonts w:asciiTheme="minorEastAsia" w:hAnsiTheme="minorEastAsia" w:eastAsiaTheme="minorEastAsia"/>
          <w:b w:val="0"/>
          <w:color w:val="auto"/>
          <w:sz w:val="15"/>
          <w:szCs w:val="15"/>
          <w:highlight w:val="none"/>
          <w:lang w:eastAsia="zh-CN"/>
        </w:rPr>
      </w:pPr>
      <w:r>
        <w:rPr>
          <w:rFonts w:hint="eastAsia" w:asciiTheme="minorEastAsia" w:hAnsiTheme="minorEastAsia" w:eastAsiaTheme="minorEastAsia"/>
          <w:color w:val="auto"/>
          <w:highlight w:val="none"/>
          <w:lang w:eastAsia="zh-CN"/>
        </w:rPr>
        <w:t xml:space="preserve">三、法定代表人授权委托书</w:t>
      </w:r>
      <w:r/>
    </w:p>
    <w:p>
      <w:pPr>
        <w:ind w:right="420" w:firstLine="560"/>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right="420"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本授权书声明：</w:t>
      </w:r>
      <w:r>
        <w:rPr>
          <w:rFonts w:hint="eastAsia" w:asciiTheme="minorEastAsia" w:hAnsiTheme="minorEastAsia" w:eastAsiaTheme="minorEastAsia"/>
          <w:b/>
          <w:color w:val="auto"/>
          <w:sz w:val="24"/>
          <w:highlight w:val="none"/>
          <w:u w:val="single"/>
        </w:rPr>
        <w:t xml:space="preserve">×××（投标人名称）</w:t>
      </w:r>
      <w:r>
        <w:rPr>
          <w:rFonts w:hint="eastAsia" w:asciiTheme="minorEastAsia" w:hAnsiTheme="minorEastAsia" w:eastAsiaTheme="minorEastAsia"/>
          <w:color w:val="auto"/>
          <w:sz w:val="28"/>
          <w:highlight w:val="none"/>
        </w:rPr>
        <w:t xml:space="preserve">法定代表人（负责人）</w:t>
      </w:r>
      <w:r>
        <w:rPr>
          <w:rFonts w:hint="eastAsia" w:asciiTheme="minorEastAsia" w:hAnsiTheme="minorEastAsia" w:eastAsiaTheme="minorEastAsia"/>
          <w:b/>
          <w:color w:val="auto"/>
          <w:sz w:val="24"/>
          <w:highlight w:val="none"/>
          <w:u w:val="single"/>
        </w:rPr>
        <w:t xml:space="preserve">×××（姓名） </w:t>
      </w:r>
      <w:r>
        <w:rPr>
          <w:rFonts w:hint="eastAsia" w:asciiTheme="minorEastAsia" w:hAnsiTheme="minorEastAsia" w:eastAsiaTheme="minorEastAsia"/>
          <w:color w:val="auto"/>
          <w:sz w:val="28"/>
          <w:highlight w:val="none"/>
        </w:rPr>
        <w:t xml:space="preserve">授权</w:t>
      </w:r>
      <w:r>
        <w:rPr>
          <w:rFonts w:hint="eastAsia" w:asciiTheme="minorEastAsia" w:hAnsiTheme="minorEastAsia" w:eastAsiaTheme="minorEastAsia"/>
          <w:b/>
          <w:color w:val="auto"/>
          <w:sz w:val="24"/>
          <w:highlight w:val="none"/>
          <w:u w:val="single"/>
        </w:rPr>
        <w:t xml:space="preserve">×××（委托代理人的姓名、身份证号）</w:t>
      </w:r>
      <w:r>
        <w:rPr>
          <w:rFonts w:hint="eastAsia" w:asciiTheme="minorEastAsia" w:hAnsiTheme="minorEastAsia" w:eastAsiaTheme="minorEastAsia"/>
          <w:color w:val="auto"/>
          <w:sz w:val="28"/>
          <w:highlight w:val="none"/>
        </w:rPr>
        <w:t xml:space="preserve">为我方就</w:t>
      </w:r>
      <w:r>
        <w:rPr>
          <w:rFonts w:hint="eastAsia" w:asciiTheme="minorEastAsia" w:hAnsiTheme="minorEastAsia" w:eastAsiaTheme="minorEastAsia"/>
          <w:b/>
          <w:color w:val="auto"/>
          <w:sz w:val="24"/>
          <w:highlight w:val="none"/>
          <w:u w:val="single"/>
        </w:rPr>
        <w:t xml:space="preserve">××××（代理机构）代理的××××（项目编号）</w:t>
      </w:r>
      <w:r>
        <w:rPr>
          <w:rFonts w:hint="eastAsia" w:asciiTheme="minorEastAsia" w:hAnsiTheme="minorEastAsia" w:eastAsiaTheme="minorEastAsia"/>
          <w:bCs/>
          <w:color w:val="auto"/>
          <w:sz w:val="28"/>
          <w:highlight w:val="none"/>
        </w:rPr>
        <w:t xml:space="preserve">项目</w:t>
      </w:r>
      <w:r>
        <w:rPr>
          <w:rFonts w:hint="eastAsia" w:asciiTheme="minorEastAsia" w:hAnsiTheme="minorEastAsia" w:eastAsiaTheme="minorEastAsia"/>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ab/>
      </w:r>
      <w:r/>
    </w:p>
    <w:p>
      <w:pPr>
        <w:ind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本授权书于    年    月    日签字生效，特此声明。</w:t>
      </w:r>
      <w:r/>
    </w:p>
    <w:p>
      <w:pPr>
        <w:ind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委托代理人身份证号码：</w:t>
      </w:r>
      <w:r/>
    </w:p>
    <w:p>
      <w:pPr>
        <w:ind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委托代理人联系电话：（手机）</w:t>
      </w:r>
      <w:r/>
    </w:p>
    <w:p>
      <w:pPr>
        <w:ind w:firstLine="560"/>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0"/>
        <w:spacing w:line="360" w:lineRule="auto"/>
        <w:rPr>
          <w:rFonts w:asciiTheme="minorEastAsia" w:hAnsiTheme="minorEastAsia" w:eastAsiaTheme="minorEastAsia"/>
          <w:color w:val="auto"/>
          <w:sz w:val="28"/>
          <w:highlight w:val="none"/>
          <w:u w:val="single"/>
        </w:rPr>
      </w:pPr>
      <w:r>
        <w:rPr>
          <w:rFonts w:hint="eastAsia" w:asciiTheme="minorEastAsia" w:hAnsiTheme="minorEastAsia" w:eastAsiaTheme="minorEastAsia"/>
          <w:color w:val="auto"/>
          <w:sz w:val="28"/>
          <w:highlight w:val="none"/>
        </w:rPr>
        <w:t xml:space="preserve">法定代表人签字或盖章：          </w:t>
      </w:r>
      <w:r/>
    </w:p>
    <w:p>
      <w:pPr>
        <w:ind w:firstLine="560"/>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560"/>
        <w:spacing w:line="360" w:lineRule="auto"/>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rPr>
        <w:t xml:space="preserve">投标人名称（公章）：</w:t>
      </w:r>
      <w:r/>
    </w:p>
    <w:p>
      <w:pPr>
        <w:ind w:firstLine="560"/>
        <w:spacing w:line="360" w:lineRule="auto"/>
        <w:rPr>
          <w:rFonts w:asciiTheme="minorEastAsia" w:hAnsiTheme="minorEastAsia" w:eastAsiaTheme="minorEastAsia"/>
          <w:color w:val="auto"/>
          <w:sz w:val="28"/>
          <w:highlight w:val="none"/>
          <w:u w:val="single"/>
        </w:rPr>
      </w:pPr>
      <w:r>
        <w:rPr>
          <w:rFonts w:hint="eastAsia" w:asciiTheme="minorEastAsia" w:hAnsiTheme="minorEastAsia" w:eastAsiaTheme="minorEastAsia"/>
          <w:color w:val="auto"/>
          <w:sz w:val="28"/>
          <w:highlight w:val="none"/>
        </w:rPr>
        <w:t xml:space="preserve">日     期：</w:t>
      </w:r>
      <w:r/>
    </w:p>
    <w:p>
      <w:pPr>
        <w:ind w:firstLine="560"/>
        <w:spacing w:line="360" w:lineRule="auto"/>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r>
      <w:r/>
    </w:p>
    <w:p>
      <w:pPr>
        <w:ind w:firstLine="643"/>
        <w:spacing w:line="360" w:lineRule="auto"/>
        <w:rPr>
          <w:rFonts w:asciiTheme="minorEastAsia" w:hAnsiTheme="minorEastAsia" w:eastAsiaTheme="minorEastAsia"/>
          <w:color w:val="auto"/>
          <w:sz w:val="28"/>
          <w:highlight w:val="none"/>
          <w:u w:val="single"/>
        </w:rPr>
      </w:pPr>
      <w:r>
        <w:rPr>
          <w:rFonts w:hint="eastAsia" w:asciiTheme="minorEastAsia" w:hAnsiTheme="minorEastAsia" w:eastAsiaTheme="minorEastAsia"/>
          <w:b/>
          <w:color w:val="auto"/>
          <w:sz w:val="32"/>
          <w:szCs w:val="32"/>
          <w:highlight w:val="none"/>
        </w:rPr>
        <w:t xml:space="preserve">附：委托代理人居民身份证复印件</w:t>
      </w:r>
      <w:r/>
    </w:p>
    <w:p>
      <w:pPr>
        <w:pStyle w:val="755"/>
        <w:ind w:firstLine="562"/>
        <w:jc w:val="left"/>
        <w:keepLines w:val="0"/>
        <w:keepNext w:val="0"/>
        <w:spacing w:line="360" w:lineRule="auto"/>
        <w:rPr>
          <w:rFonts w:asciiTheme="minorEastAsia" w:hAnsiTheme="minorEastAsia" w:eastAsiaTheme="minorEastAsia"/>
          <w:color w:val="auto"/>
          <w:sz w:val="28"/>
          <w:szCs w:val="24"/>
          <w:highlight w:val="none"/>
          <w:u w:val="single"/>
        </w:rPr>
      </w:pPr>
      <w:r>
        <w:rPr>
          <w:rFonts w:hint="eastAsia" w:asciiTheme="minorEastAsia" w:hAnsiTheme="minorEastAsia" w:eastAsiaTheme="minorEastAsia"/>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Theme="minorEastAsia" w:hAnsiTheme="minorEastAsia" w:eastAsiaTheme="minorEastAsia"/>
          <w:color w:val="auto"/>
          <w:sz w:val="28"/>
          <w:highlight w:val="none"/>
        </w:rPr>
        <w:t xml:space="preserve">。</w:t>
      </w:r>
      <w:r/>
    </w:p>
    <w:p>
      <w:pPr>
        <w:pStyle w:val="756"/>
        <w:ind w:firstLine="420"/>
        <w:jc w:val="center"/>
        <w:keepLines w:val="0"/>
        <w:keepNext w:val="0"/>
        <w:spacing w:before="0" w:after="0" w:line="360" w:lineRule="auto"/>
        <w:rPr>
          <w:rFonts w:asciiTheme="minorEastAsia" w:hAnsiTheme="minorEastAsia" w:eastAsiaTheme="minorEastAsia"/>
          <w:b w:val="0"/>
          <w:color w:val="auto"/>
          <w:sz w:val="21"/>
          <w:szCs w:val="24"/>
          <w:highlight w:val="none"/>
          <w:lang w:eastAsia="zh-CN"/>
        </w:rPr>
      </w:pPr>
      <w:r>
        <w:rPr>
          <w:rFonts w:asciiTheme="minorEastAsia" w:hAnsiTheme="minorEastAsia" w:eastAsiaTheme="minorEastAsia"/>
          <w:b w:val="0"/>
          <w:color w:val="auto"/>
          <w:sz w:val="21"/>
          <w:szCs w:val="24"/>
          <w:highlight w:val="none"/>
          <w:lang w:eastAsia="zh-CN"/>
        </w:rPr>
      </w:r>
      <w:r/>
    </w:p>
    <w:p>
      <w:pPr>
        <w:pStyle w:val="756"/>
        <w:ind w:firstLine="420"/>
        <w:jc w:val="center"/>
        <w:keepLines w:val="0"/>
        <w:keepNext w:val="0"/>
        <w:spacing w:before="0" w:after="0" w:line="360" w:lineRule="auto"/>
        <w:rPr>
          <w:rFonts w:asciiTheme="minorEastAsia" w:hAnsiTheme="minorEastAsia" w:eastAsiaTheme="minorEastAsia"/>
          <w:b w:val="0"/>
          <w:color w:val="auto"/>
          <w:sz w:val="21"/>
          <w:szCs w:val="24"/>
          <w:highlight w:val="none"/>
          <w:lang w:eastAsia="zh-CN"/>
        </w:rPr>
      </w:pPr>
      <w:r>
        <w:rPr>
          <w:rFonts w:asciiTheme="minorEastAsia" w:hAnsiTheme="minorEastAsia" w:eastAsiaTheme="minorEastAsia"/>
          <w:b w:val="0"/>
          <w:color w:val="auto"/>
          <w:sz w:val="21"/>
          <w:szCs w:val="24"/>
          <w:highlight w:val="none"/>
          <w:lang w:eastAsia="zh-CN"/>
        </w:rPr>
      </w:r>
      <w:r/>
    </w:p>
    <w:p>
      <w:pPr>
        <w:pStyle w:val="756"/>
        <w:ind w:firstLine="720"/>
        <w:jc w:val="center"/>
        <w:keepLines w:val="0"/>
        <w:keepNext w:val="0"/>
        <w:spacing w:before="0" w:after="0" w:line="360" w:lineRule="auto"/>
        <w:rPr>
          <w:rFonts w:asciiTheme="minorEastAsia" w:hAnsiTheme="minorEastAsia" w:eastAsiaTheme="minorEastAsia"/>
          <w:b w:val="0"/>
          <w:color w:val="auto"/>
          <w:sz w:val="36"/>
          <w:szCs w:val="36"/>
          <w:highlight w:val="none"/>
          <w:lang w:eastAsia="zh-CN"/>
        </w:rPr>
      </w:pPr>
      <w:r>
        <w:rPr>
          <w:rFonts w:asciiTheme="minorEastAsia" w:hAnsiTheme="minorEastAsia" w:eastAsiaTheme="minorEastAsia"/>
          <w:b w:val="0"/>
          <w:color w:val="auto"/>
          <w:sz w:val="36"/>
          <w:szCs w:val="36"/>
          <w:highlight w:val="none"/>
          <w:lang w:eastAsia="zh-CN"/>
        </w:rPr>
      </w:r>
      <w:r/>
    </w:p>
    <w:p>
      <w:pPr>
        <w:pStyle w:val="755"/>
        <w:spacing w:line="360" w:lineRule="auto"/>
        <w:rPr>
          <w:rFonts w:asciiTheme="minorEastAsia" w:hAnsiTheme="minorEastAsia" w:eastAsiaTheme="minorEastAsia"/>
          <w:color w:val="auto"/>
          <w:sz w:val="32"/>
          <w:highlight w:val="none"/>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asciiTheme="minorEastAsia" w:hAnsiTheme="minorEastAsia" w:eastAsiaTheme="minorEastAsia"/>
          <w:color w:val="auto"/>
          <w:sz w:val="32"/>
          <w:highlight w:val="none"/>
        </w:rPr>
      </w:r>
      <w:r/>
    </w:p>
    <w:p>
      <w:pPr>
        <w:pStyle w:val="755"/>
        <w:ind w:firstLine="883"/>
        <w:spacing w:line="360" w:lineRule="auto"/>
        <w:rPr>
          <w:rFonts w:asciiTheme="minorEastAsia" w:hAnsiTheme="minorEastAsia" w:eastAsiaTheme="minorEastAsia"/>
          <w:color w:val="auto"/>
          <w:szCs w:val="44"/>
          <w:highlight w:val="none"/>
        </w:rPr>
      </w:pPr>
      <w:r>
        <w:rPr>
          <w:rFonts w:hint="eastAsia" w:asciiTheme="minorEastAsia" w:hAnsiTheme="minorEastAsia" w:eastAsiaTheme="minorEastAsia"/>
          <w:color w:val="auto"/>
          <w:szCs w:val="44"/>
          <w:highlight w:val="none"/>
        </w:rPr>
        <w:t xml:space="preserve">四、价格部分</w:t>
      </w:r>
      <w:r/>
    </w:p>
    <w:p>
      <w:pPr>
        <w:pStyle w:val="75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（一）开标一览表</w:t>
      </w:r>
      <w:r/>
    </w:p>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76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投标人名称（公章）：                              货币单位：人民币元</w:t>
      </w:r>
      <w:r/>
    </w:p>
    <w:p>
      <w:pPr>
        <w:pStyle w:val="76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764"/>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385"/>
        <w:gridCol w:w="2549"/>
        <w:gridCol w:w="3751"/>
      </w:tblGrid>
      <w:tr>
        <w:trPr>
          <w:tblCellSpacing w:w="15" w:type="dxa"/>
        </w:trPr>
        <w:tc>
          <w:tcPr>
            <w:shd w:val="clear" w:color="auto" w:fill="auto"/>
            <w:tcW w:w="311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shd w:val="clear" w:color="auto" w:fill="auto"/>
            <w:tcW w:w="3375"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shd w:val="clear" w:color="auto" w:fill="auto"/>
            <w:tcW w:w="426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tblCellSpacing w:w="15" w:type="dxa"/>
        </w:trPr>
        <w:tc>
          <w:tcPr>
            <w:shd w:val="clear" w:color="auto" w:fill="auto"/>
            <w:tcW w:w="311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3375"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shd w:val="clear" w:color="auto" w:fill="auto"/>
            <w:tcW w:w="426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元</w:t>
            </w:r>
            <w:r/>
          </w:p>
        </w:tc>
      </w:tr>
      <w:tr>
        <w:trPr>
          <w:tblCellSpacing w:w="15" w:type="dxa"/>
        </w:trPr>
        <w:tc>
          <w:tcPr>
            <w:shd w:val="clear" w:color="auto" w:fill="auto"/>
            <w:tcW w:w="3110"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shd w:val="clear" w:color="auto" w:fill="auto"/>
            <w:tcW w:w="7665" w:type="dxa"/>
            <w:vAlign w:val="center"/>
            <w:textDirection w:val="lrTb"/>
            <w:noWrap w:val="false"/>
          </w:tcPr>
          <w:p>
            <w:pPr>
              <w:pStyle w:val="7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pStyle w:val="765"/>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65"/>
        <w:ind w:firstLine="482"/>
        <w:spacing w:line="360" w:lineRule="auto"/>
        <w:rPr>
          <w:rFonts w:hint="eastAsia" w:ascii="宋体" w:hAnsi="宋体" w:eastAsia="宋体" w:cs="宋体"/>
          <w:bCs/>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highlight w:val="none"/>
          <w:u w:val="single"/>
        </w:rPr>
        <w:t xml:space="preserve">1.投标人必须据实填写此表，报价所含与招标文件要求的内容一致；</w:t>
      </w:r>
      <w:r/>
    </w:p>
    <w:p>
      <w:pPr>
        <w:pStyle w:val="76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2.报价保留至小数点后两位，四舍五入。</w:t>
      </w:r>
      <w:r/>
    </w:p>
    <w:p>
      <w:pPr>
        <w:pStyle w:val="76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lang w:val="en-US" w:eastAsia="zh-CN"/>
        </w:rPr>
        <w:t xml:space="preserve">3.供应商报价应当包含代理费</w:t>
      </w:r>
      <w:r>
        <w:rPr>
          <w:rFonts w:hint="eastAsia" w:ascii="宋体" w:hAnsi="宋体" w:eastAsia="宋体" w:cs="宋体"/>
          <w:bCs/>
          <w:color w:val="auto"/>
          <w:sz w:val="24"/>
          <w:highlight w:val="none"/>
          <w:u w:val="single"/>
        </w:rPr>
        <w:t xml:space="preserve">。</w:t>
      </w:r>
      <w:r/>
    </w:p>
    <w:p>
      <w:pPr>
        <w:pStyle w:val="765"/>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                                  </w:t>
      </w:r>
      <w:r/>
    </w:p>
    <w:p>
      <w:pPr>
        <w:pStyle w:val="765"/>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投标人盖章（公章）：</w:t>
      </w:r>
      <w:r/>
    </w:p>
    <w:p>
      <w:pPr>
        <w:pStyle w:val="765"/>
        <w:ind w:left="482" w:firstLine="5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b/>
          <w:color w:val="auto"/>
          <w:sz w:val="24"/>
          <w:szCs w:val="24"/>
          <w:highlight w:val="none"/>
          <w:u w:val="single"/>
        </w:rPr>
        <w:t xml:space="preserve">××××</w:t>
      </w:r>
      <w:r/>
    </w:p>
    <w:p>
      <w:pPr>
        <w:pStyle w:val="839"/>
        <w:ind w:left="840" w:firstLine="560"/>
        <w:jc w:val="right"/>
        <w:spacing w:line="360" w:lineRule="auto"/>
        <w:rPr>
          <w:rFonts w:asciiTheme="minorEastAsia" w:hAnsiTheme="minorEastAsia" w:eastAsiaTheme="minorEastAsia"/>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                     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pStyle w:val="75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（二）清单及明细报价表</w:t>
      </w:r>
      <w:r/>
    </w:p>
    <w:tbl>
      <w:tblPr>
        <w:tblStyle w:val="764"/>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一、货物部分</w:t>
            </w:r>
            <w:r/>
          </w:p>
        </w:tc>
      </w:tr>
      <w:tr>
        <w:trPr>
          <w:trHeight w:val="594"/>
        </w:trPr>
        <w:tc>
          <w:tcPr>
            <w:tcBorders>
              <w:right w:val="single" w:color="000000" w:sz="4" w:space="0"/>
            </w:tcBorders>
            <w:tcW w:w="543"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序号</w:t>
            </w:r>
            <w:r/>
          </w:p>
        </w:tc>
        <w:tc>
          <w:tcPr>
            <w:tcBorders>
              <w:left w:val="single" w:color="000000" w:sz="4" w:space="0"/>
              <w:right w:val="single" w:color="000000" w:sz="4" w:space="0"/>
            </w:tcBorders>
            <w:tcW w:w="1608"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标的名称</w:t>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品牌型号</w:t>
            </w:r>
            <w:r/>
          </w:p>
        </w:tc>
        <w:tc>
          <w:tcPr>
            <w:gridSpan w:val="2"/>
            <w:tcBorders>
              <w:right w:val="single" w:color="000000" w:sz="4" w:space="0"/>
            </w:tcBorders>
            <w:tcW w:w="1693"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数量</w:t>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单价（元）</w:t>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合计（元）</w:t>
            </w:r>
            <w:r/>
          </w:p>
        </w:tc>
        <w:tc>
          <w:tcPr>
            <w:tcBorders>
              <w:left w:val="single" w:color="000000" w:sz="4" w:space="0"/>
            </w:tcBorders>
            <w:tcW w:w="1068" w:type="dxa"/>
            <w:vAlign w:val="center"/>
            <w:textDirection w:val="lrTb"/>
            <w:noWrap/>
          </w:tcPr>
          <w:p>
            <w:pPr>
              <w:jc w:val="center"/>
              <w:spacing w:line="360" w:lineRule="auto"/>
              <w:rPr>
                <w:rFonts w:hint="eastAsia" w:asciiTheme="minorEastAsia" w:hAnsiTheme="minorEastAsia" w:eastAsiaTheme="minorEastAsia"/>
                <w:b/>
                <w:color w:val="auto"/>
                <w:sz w:val="24"/>
                <w:highlight w:val="none"/>
                <w:lang w:eastAsia="zh-CN"/>
              </w:rPr>
            </w:pPr>
            <w:r>
              <w:rPr>
                <w:rFonts w:hint="eastAsia" w:asciiTheme="minorEastAsia" w:hAnsiTheme="minorEastAsia" w:eastAsiaTheme="minorEastAsia"/>
                <w:b/>
                <w:color w:val="auto"/>
                <w:sz w:val="24"/>
                <w:highlight w:val="none"/>
                <w:lang w:val="en-US" w:eastAsia="zh-CN"/>
              </w:rPr>
              <w:t xml:space="preserve">备注</w:t>
            </w:r>
            <w:r/>
          </w:p>
        </w:tc>
      </w:tr>
      <w:tr>
        <w:trPr>
          <w:trHeight w:val="594"/>
        </w:trPr>
        <w:tc>
          <w:tcPr>
            <w:tcBorders>
              <w:right w:val="single" w:color="000000" w:sz="4" w:space="0"/>
            </w:tcBorders>
            <w:tcW w:w="543"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1</w:t>
            </w:r>
            <w:r/>
          </w:p>
        </w:tc>
        <w:tc>
          <w:tcPr>
            <w:tcBorders>
              <w:left w:val="single" w:color="000000" w:sz="4" w:space="0"/>
              <w:right w:val="single" w:color="000000" w:sz="4" w:space="0"/>
            </w:tcBorders>
            <w:tcW w:w="1608" w:type="dxa"/>
            <w:vAlign w:val="center"/>
            <w:textDirection w:val="lrTb"/>
            <w:noWrap/>
          </w:tcPr>
          <w:p>
            <w:pP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gridSpan w:val="2"/>
            <w:tcBorders>
              <w:right w:val="single" w:color="000000" w:sz="4" w:space="0"/>
            </w:tcBorders>
            <w:tcW w:w="1693" w:type="dxa"/>
            <w:vAlign w:val="center"/>
            <w:textDirection w:val="lrTb"/>
            <w:noWrap/>
          </w:tcPr>
          <w:p>
            <w:pPr>
              <w:jc w:val="cente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tcBorders>
            <w:tcW w:w="1068" w:type="dxa"/>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594"/>
        </w:trPr>
        <w:tc>
          <w:tcPr>
            <w:tcBorders>
              <w:right w:val="single" w:color="000000" w:sz="4" w:space="0"/>
            </w:tcBorders>
            <w:tcW w:w="543"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2</w:t>
            </w:r>
            <w:r/>
          </w:p>
        </w:tc>
        <w:tc>
          <w:tcPr>
            <w:tcBorders>
              <w:left w:val="single" w:color="000000" w:sz="4" w:space="0"/>
              <w:right w:val="single" w:color="000000" w:sz="4" w:space="0"/>
            </w:tcBorders>
            <w:tcW w:w="1608" w:type="dxa"/>
            <w:vAlign w:val="center"/>
            <w:textDirection w:val="lrTb"/>
            <w:noWrap/>
          </w:tcPr>
          <w:p>
            <w:pP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gridSpan w:val="2"/>
            <w:tcBorders>
              <w:right w:val="single" w:color="000000" w:sz="4" w:space="0"/>
            </w:tcBorders>
            <w:tcW w:w="1693" w:type="dxa"/>
            <w:vAlign w:val="center"/>
            <w:textDirection w:val="lrTb"/>
            <w:noWrap/>
          </w:tcPr>
          <w:p>
            <w:pPr>
              <w:jc w:val="cente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tcBorders>
            <w:tcW w:w="1068" w:type="dxa"/>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594"/>
        </w:trPr>
        <w:tc>
          <w:tcPr>
            <w:tcBorders>
              <w:right w:val="single" w:color="000000" w:sz="4" w:space="0"/>
            </w:tcBorders>
            <w:tcW w:w="543"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eastAsia="en-US"/>
              </w:rPr>
              <w:t xml:space="preserve">3</w:t>
            </w:r>
            <w:r/>
          </w:p>
        </w:tc>
        <w:tc>
          <w:tcPr>
            <w:tcBorders>
              <w:left w:val="single" w:color="000000" w:sz="4" w:space="0"/>
              <w:right w:val="single" w:color="000000" w:sz="4" w:space="0"/>
            </w:tcBorders>
            <w:tcW w:w="1608" w:type="dxa"/>
            <w:vAlign w:val="center"/>
            <w:textDirection w:val="lrTb"/>
            <w:noWrap/>
          </w:tcPr>
          <w:p>
            <w:pP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49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gridSpan w:val="2"/>
            <w:tcBorders>
              <w:right w:val="single" w:color="000000" w:sz="4" w:space="0"/>
            </w:tcBorders>
            <w:tcW w:w="1693" w:type="dxa"/>
            <w:vAlign w:val="center"/>
            <w:textDirection w:val="lrTb"/>
            <w:noWrap/>
          </w:tcPr>
          <w:p>
            <w:pPr>
              <w:jc w:val="center"/>
              <w:widowControl/>
              <w:rPr>
                <w:rFonts w:cs="Calibri" w:asciiTheme="minorEastAsia" w:hAnsiTheme="minorEastAsia" w:eastAsiaTheme="minorEastAsia"/>
                <w:color w:val="auto"/>
                <w:sz w:val="24"/>
                <w:highlight w:val="none"/>
              </w:rPr>
            </w:pPr>
            <w:r>
              <w:rPr>
                <w:rFonts w:cs="Calibri" w:asciiTheme="minorEastAsia" w:hAnsiTheme="minorEastAsia" w:eastAsiaTheme="minorEastAsia"/>
                <w:color w:val="auto"/>
                <w:sz w:val="24"/>
                <w:highlight w:val="none"/>
              </w:rPr>
            </w:r>
            <w:r/>
          </w:p>
        </w:tc>
        <w:tc>
          <w:tcPr>
            <w:tcBorders>
              <w:left w:val="single" w:color="000000" w:sz="4" w:space="0"/>
              <w:right w:val="single" w:color="000000" w:sz="4" w:space="0"/>
            </w:tcBorders>
            <w:tcW w:w="1752"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right w:val="single" w:color="000000" w:sz="4" w:space="0"/>
            </w:tcBorders>
            <w:tcW w:w="1626" w:type="dxa"/>
            <w:vAlign w:val="center"/>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Borders>
              <w:left w:val="single" w:color="000000" w:sz="4" w:space="0"/>
            </w:tcBorders>
            <w:tcW w:w="1068" w:type="dxa"/>
            <w:textDirection w:val="lrTb"/>
            <w:noWrap/>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trHeight w:val="594"/>
        </w:trPr>
        <w:tc>
          <w:tcPr>
            <w:gridSpan w:val="8"/>
            <w:tcW w:w="9782" w:type="dxa"/>
            <w:vAlign w:val="center"/>
            <w:textDirection w:val="lrTb"/>
            <w:noWrap/>
          </w:tcPr>
          <w:p>
            <w:pPr>
              <w:jc w:val="cente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货物部分小计：     元</w:t>
            </w:r>
            <w:r/>
          </w:p>
        </w:tc>
      </w:tr>
      <w:tr>
        <w:trPr/>
        <w:tc>
          <w:tcPr>
            <w:gridSpan w:val="4"/>
            <w:tcW w:w="4299" w:type="dxa"/>
            <w:textDirection w:val="lrTb"/>
            <w:noWrap/>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其它与项目有关的费用</w:t>
            </w:r>
            <w:r/>
          </w:p>
        </w:tc>
        <w:tc>
          <w:tcPr>
            <w:gridSpan w:val="4"/>
            <w:tcW w:w="5483" w:type="dxa"/>
            <w:textDirection w:val="lrTb"/>
            <w:noWrap/>
          </w:tcPr>
          <w:p>
            <w:pPr>
              <w:jc w:val="center"/>
              <w:spacing w:line="360" w:lineRule="auto"/>
              <w:rPr>
                <w:rFonts w:asciiTheme="minorEastAsia" w:hAnsiTheme="minorEastAsia" w:eastAsiaTheme="minorEastAsia"/>
                <w:color w:val="auto"/>
                <w:sz w:val="24"/>
                <w:highlight w:val="none"/>
              </w:rPr>
            </w:pPr>
            <w:r>
              <w:rPr>
                <w:rFonts w:hint="eastAsia" w:cs="楷体" w:asciiTheme="minorEastAsia" w:hAnsiTheme="minorEastAsia" w:eastAsiaTheme="minorEastAsia"/>
                <w:b/>
                <w:color w:val="auto"/>
                <w:sz w:val="24"/>
                <w:highlight w:val="none"/>
                <w:lang w:eastAsia="en-US"/>
              </w:rPr>
              <w:t xml:space="preserve">元</w:t>
            </w:r>
            <w:r/>
          </w:p>
        </w:tc>
      </w:tr>
      <w:tr>
        <w:trPr/>
        <w:tc>
          <w:tcPr>
            <w:gridSpan w:val="4"/>
            <w:tcW w:w="4299" w:type="dxa"/>
            <w:textDirection w:val="lrTb"/>
            <w:noWrap/>
          </w:tcPr>
          <w:p>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lang w:eastAsia="en-US"/>
              </w:rPr>
              <w:t xml:space="preserve">项目总报价</w:t>
            </w:r>
            <w:r/>
          </w:p>
        </w:tc>
        <w:tc>
          <w:tcPr>
            <w:gridSpan w:val="4"/>
            <w:tcW w:w="5483" w:type="dxa"/>
            <w:textDirection w:val="lrTb"/>
            <w:noWrap/>
          </w:tcPr>
          <w:p>
            <w:pPr>
              <w:jc w:val="center"/>
              <w:spacing w:line="360" w:lineRule="auto"/>
              <w:rPr>
                <w:rFonts w:asciiTheme="minorEastAsia" w:hAnsiTheme="minorEastAsia" w:eastAsiaTheme="minorEastAsia"/>
                <w:color w:val="auto"/>
                <w:sz w:val="24"/>
                <w:highlight w:val="none"/>
              </w:rPr>
            </w:pPr>
            <w:r>
              <w:rPr>
                <w:rFonts w:hint="eastAsia" w:cs="楷体" w:asciiTheme="minorEastAsia" w:hAnsiTheme="minorEastAsia" w:eastAsiaTheme="minorEastAsia"/>
                <w:b/>
                <w:color w:val="auto"/>
                <w:sz w:val="24"/>
                <w:highlight w:val="none"/>
                <w:lang w:eastAsia="en-US"/>
              </w:rPr>
              <w:t xml:space="preserve">元</w:t>
            </w:r>
            <w:r/>
          </w:p>
        </w:tc>
      </w:tr>
    </w:tbl>
    <w:p>
      <w:pPr>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spacing w:line="360" w:lineRule="auto"/>
        <w:rPr>
          <w:rFonts w:asciiTheme="minorEastAsia" w:hAnsiTheme="minorEastAsia" w:eastAsiaTheme="minorEastAsia"/>
          <w:b/>
          <w:color w:val="auto"/>
          <w:sz w:val="24"/>
          <w:highlight w:val="none"/>
          <w:u w:val="single"/>
        </w:rPr>
      </w:pPr>
      <w:r>
        <w:rPr>
          <w:rFonts w:hint="eastAsia" w:asciiTheme="minorEastAsia" w:hAnsiTheme="minorEastAsia" w:eastAsiaTheme="minorEastAsia"/>
          <w:b/>
          <w:color w:val="auto"/>
          <w:sz w:val="24"/>
          <w:highlight w:val="none"/>
        </w:rPr>
        <w:t xml:space="preserve">注：</w:t>
      </w: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
          <w:color w:val="auto"/>
          <w:sz w:val="24"/>
          <w:highlight w:val="none"/>
          <w:u w:val="single"/>
        </w:rPr>
        <w:t xml:space="preserve">投标人应当按照招标文件采购需求及相关报价要求填写</w:t>
      </w:r>
      <w:r>
        <w:rPr>
          <w:rFonts w:hint="eastAsia" w:asciiTheme="minorEastAsia" w:hAnsiTheme="minorEastAsia" w:eastAsiaTheme="minorEastAsia"/>
          <w:color w:val="auto"/>
          <w:sz w:val="24"/>
          <w:highlight w:val="none"/>
          <w:u w:val="single"/>
        </w:rPr>
        <w:t xml:space="preserve">。</w:t>
      </w:r>
      <w:r/>
    </w:p>
    <w:p>
      <w:pPr>
        <w:ind w:left="-283"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u w:val="single"/>
        </w:rPr>
        <w:t xml:space="preserve">本表中项目总报价应与开标一览表中项目总报价保持一致。</w:t>
      </w:r>
      <w:r/>
    </w:p>
    <w:p>
      <w:pPr>
        <w:ind w:left="-283" w:firstLine="480"/>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bCs/>
          <w:color w:val="auto"/>
          <w:sz w:val="24"/>
          <w:highlight w:val="none"/>
          <w:u w:val="single"/>
        </w:rPr>
        <w:t xml:space="preserve">报价保留至小数点后两位，四舍五入。</w:t>
      </w:r>
      <w:r/>
    </w:p>
    <w:p>
      <w:pPr>
        <w:ind w:left="-283" w:firstLine="480"/>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u w:val="single"/>
        </w:rPr>
        <w:t xml:space="preserve">标的物报价不得为零，否则投标无效。</w:t>
      </w:r>
      <w:r/>
    </w:p>
    <w:p>
      <w:pPr>
        <w:pStyle w:val="766"/>
        <w:jc w:val="center"/>
        <w:spacing w:line="360" w:lineRule="auto"/>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766"/>
        <w:jc w:val="center"/>
        <w:spacing w:line="360" w:lineRule="auto"/>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spacing w:before="240" w:after="240"/>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法定代表人或授权代表（签字或盖章）：</w:t>
      </w:r>
      <w:r/>
    </w:p>
    <w:p>
      <w:pPr>
        <w:spacing w:before="240" w:after="240"/>
        <w:rPr>
          <w:rFonts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日期：  年  月   日</w:t>
      </w:r>
      <w:r/>
    </w:p>
    <w:p>
      <w:pPr>
        <w:pStyle w:val="766"/>
        <w:jc w:val="center"/>
        <w:spacing w:line="360" w:lineRule="auto"/>
        <w:rPr>
          <w:rFonts w:asciiTheme="minorEastAsia" w:hAnsiTheme="minorEastAsia" w:eastAsiaTheme="minorEastAsia"/>
          <w:b/>
          <w:color w:val="auto"/>
          <w:sz w:val="32"/>
          <w:szCs w:val="32"/>
          <w:highlight w:val="none"/>
          <w:lang w:eastAsia="zh-CN"/>
        </w:rPr>
      </w:pPr>
      <w:r>
        <w:rPr>
          <w:rFonts w:asciiTheme="minorEastAsia" w:hAnsiTheme="minorEastAsia" w:eastAsiaTheme="minorEastAsia"/>
          <w:color w:val="auto"/>
          <w:highlight w:val="none"/>
          <w:lang w:eastAsia="zh-CN"/>
        </w:rPr>
        <w:br w:type="page" w:clear="all"/>
      </w:r>
      <w:r>
        <w:rPr>
          <w:rFonts w:hint="eastAsia" w:asciiTheme="minorEastAsia" w:hAnsiTheme="minorEastAsia" w:eastAsiaTheme="minorEastAsia"/>
          <w:b/>
          <w:color w:val="auto"/>
          <w:sz w:val="32"/>
          <w:szCs w:val="32"/>
          <w:highlight w:val="none"/>
          <w:lang w:eastAsia="zh-CN"/>
        </w:rPr>
        <w:t xml:space="preserve">五、技术部分</w:t>
      </w:r>
      <w:r/>
    </w:p>
    <w:p>
      <w:pPr>
        <w:pStyle w:val="755"/>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（一）技术响应及偏离表</w:t>
      </w:r>
      <w:r/>
    </w:p>
    <w:tbl>
      <w:tblPr>
        <w:tblStyle w:val="764"/>
        <w:tblW w:w="9128" w:type="dxa"/>
        <w:jc w:val="center"/>
        <w:tblLayout w:type="fixed"/>
        <w:tblCellMar>
          <w:left w:w="28" w:type="dxa"/>
          <w:top w:w="0" w:type="dxa"/>
          <w:right w:w="28" w:type="dxa"/>
          <w:bottom w:w="0" w:type="dxa"/>
        </w:tblCellMar>
        <w:tblLook w:val="04A0" w:firstRow="1" w:lastRow="0" w:firstColumn="1" w:lastColumn="0" w:noHBand="0" w:noVBand="1"/>
      </w:tblPr>
      <w:tblGrid>
        <w:gridCol w:w="738"/>
        <w:gridCol w:w="1134"/>
        <w:gridCol w:w="1701"/>
        <w:gridCol w:w="1855"/>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738"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 w:val="32"/>
                <w:szCs w:val="32"/>
                <w:highlight w:val="none"/>
              </w:rPr>
              <w:br w:type="page" w:clear="all"/>
            </w:r>
            <w:r>
              <w:rPr>
                <w:rFonts w:hint="eastAsia" w:asciiTheme="minorEastAsia" w:hAnsiTheme="minorEastAsia" w:eastAsiaTheme="minorEastAsia"/>
                <w:b/>
                <w:color w:val="auto"/>
                <w:szCs w:val="21"/>
                <w:highlight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701"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1855"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lang w:eastAsia="en-US"/>
              </w:rPr>
            </w:pPr>
            <w:r>
              <w:rPr>
                <w:rFonts w:hint="eastAsia" w:asciiTheme="minorEastAsia" w:hAnsiTheme="minorEastAsia" w:eastAsiaTheme="minorEastAsia"/>
                <w:b/>
                <w:color w:val="auto"/>
                <w:szCs w:val="21"/>
                <w:highlight w:val="none"/>
                <w:lang w:eastAsia="en-US"/>
              </w:rPr>
              <w:t xml:space="preserve">指标要求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lang w:eastAsia="en-US"/>
              </w:rPr>
            </w:pPr>
            <w:r>
              <w:rPr>
                <w:rFonts w:hint="eastAsia" w:asciiTheme="minorEastAsia" w:hAnsiTheme="minorEastAsia" w:eastAsiaTheme="minorEastAsia"/>
                <w:b/>
                <w:color w:val="auto"/>
                <w:szCs w:val="21"/>
                <w:highlight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38" w:type="dxa"/>
            <w:textDirection w:val="lrTb"/>
            <w:noWrap/>
          </w:tcPr>
          <w:p>
            <w:pPr>
              <w:jc w:val="center"/>
              <w:spacing w:line="360" w:lineRule="auto"/>
              <w:rPr>
                <w:rFonts w:cs="黑体" w:asciiTheme="minorEastAsia" w:hAnsiTheme="minorEastAsia" w:eastAsiaTheme="minorEastAsia"/>
                <w:color w:val="auto"/>
                <w:highlight w:val="none"/>
              </w:rPr>
            </w:pPr>
            <w:r>
              <w:rPr>
                <w:rFonts w:asciiTheme="minorEastAsia" w:hAnsiTheme="minorEastAsia" w:eastAsiaTheme="minorEastAsia"/>
                <w:color w:val="auto"/>
                <w:highlight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701"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4" w:space="0"/>
            </w:tcBorders>
            <w:tcW w:w="1855"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38" w:type="dxa"/>
            <w:textDirection w:val="lrTb"/>
            <w:noWrap/>
          </w:tcPr>
          <w:p>
            <w:pPr>
              <w:jc w:val="center"/>
              <w:spacing w:line="360" w:lineRule="auto"/>
              <w:rPr>
                <w:rFonts w:cs="黑体" w:asciiTheme="minorEastAsia" w:hAnsiTheme="minorEastAsia" w:eastAsiaTheme="minorEastAsia"/>
                <w:color w:val="auto"/>
                <w:highlight w:val="none"/>
              </w:rPr>
            </w:pPr>
            <w:r>
              <w:rPr>
                <w:rFonts w:asciiTheme="minorEastAsia" w:hAnsiTheme="minorEastAsia" w:eastAsiaTheme="minorEastAsia"/>
                <w:color w:val="auto"/>
                <w:highlight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701"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4" w:space="0"/>
            </w:tcBorders>
            <w:tcW w:w="1855"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738" w:type="dxa"/>
            <w:textDirection w:val="lrTb"/>
            <w:noWrap/>
          </w:tcPr>
          <w:p>
            <w:pPr>
              <w:jc w:val="center"/>
              <w:spacing w:line="360" w:lineRule="auto"/>
              <w:rPr>
                <w:rFonts w:cs="黑体" w:asciiTheme="minorEastAsia" w:hAnsiTheme="minorEastAsia" w:eastAsiaTheme="minorEastAsia"/>
                <w:color w:val="auto"/>
                <w:highlight w:val="none"/>
              </w:rPr>
            </w:pPr>
            <w:r>
              <w:rPr>
                <w:rFonts w:hint="eastAsia" w:asciiTheme="minorEastAsia" w:hAnsiTheme="minorEastAsia" w:eastAsiaTheme="minorEastAsia"/>
                <w:color w:val="auto"/>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701"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4" w:space="0"/>
            </w:tcBorders>
            <w:tcW w:w="1855"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cs="黑体" w:asciiTheme="minorEastAsia" w:hAnsiTheme="minorEastAsia" w:eastAsiaTheme="minorEastAsia"/>
                <w:color w:val="auto"/>
                <w:highlight w:val="none"/>
                <w:u w:val="single"/>
              </w:rPr>
            </w:pPr>
            <w:r>
              <w:rPr>
                <w:rFonts w:cs="黑体" w:asciiTheme="minorEastAsia" w:hAnsiTheme="minorEastAsia" w:eastAsiaTheme="minorEastAsia"/>
                <w:color w:val="auto"/>
                <w:highlight w:val="none"/>
                <w:u w:val="single"/>
              </w:rPr>
            </w:r>
            <w:r/>
          </w:p>
        </w:tc>
      </w:tr>
    </w:tbl>
    <w:p>
      <w:pPr>
        <w:pStyle w:val="2338"/>
        <w:ind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注：1.按实际如实填写偏离表，行数不够可自行添加。</w:t>
      </w:r>
      <w:r/>
    </w:p>
    <w:p>
      <w:pPr>
        <w:pStyle w:val="2338"/>
        <w:ind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38"/>
        <w:ind w:firstLine="48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left"/>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br w:type="page" w:clear="all"/>
      </w:r>
      <w:r/>
    </w:p>
    <w:p>
      <w:pPr>
        <w:pStyle w:val="766"/>
        <w:numPr>
          <w:ilvl w:val="0"/>
          <w:numId w:val="5"/>
        </w:numPr>
        <w:jc w:val="center"/>
        <w:spacing w:line="360" w:lineRule="auto"/>
        <w:rPr>
          <w:rFonts w:hint="eastAsia"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商务部分</w:t>
      </w:r>
      <w:bookmarkStart w:id="250" w:name="_Toc100386081"/>
      <w:r/>
      <w:bookmarkEnd w:id="250"/>
      <w:r/>
      <w:r/>
    </w:p>
    <w:p>
      <w:pPr>
        <w:pStyle w:val="766"/>
        <w:numPr>
          <w:ilvl w:val="0"/>
          <w:numId w:val="0"/>
        </w:numPr>
        <w:jc w:val="center"/>
        <w:spacing w:line="360" w:lineRule="auto"/>
        <w:rPr>
          <w:rFonts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一</w:t>
      </w: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根据</w:t>
      </w:r>
      <w:r>
        <w:rPr>
          <w:rFonts w:hint="eastAsia" w:asciiTheme="minorEastAsia" w:hAnsiTheme="minorEastAsia" w:eastAsiaTheme="minorEastAsia"/>
          <w:b/>
          <w:color w:val="auto"/>
          <w:sz w:val="32"/>
          <w:szCs w:val="32"/>
          <w:highlight w:val="none"/>
          <w:lang w:eastAsia="zh-CN"/>
        </w:rPr>
        <w:t xml:space="preserve">评分标准</w:t>
      </w:r>
      <w:r>
        <w:rPr>
          <w:rFonts w:hint="eastAsia" w:asciiTheme="minorEastAsia" w:hAnsiTheme="minorEastAsia" w:eastAsiaTheme="minorEastAsia"/>
          <w:b/>
          <w:color w:val="auto"/>
          <w:sz w:val="32"/>
          <w:szCs w:val="32"/>
          <w:highlight w:val="none"/>
          <w:lang w:val="en-US" w:eastAsia="zh-CN"/>
        </w:rPr>
        <w:t xml:space="preserve">提供相应的资料</w:t>
      </w:r>
      <w:r/>
    </w:p>
    <w:p>
      <w:pPr>
        <w:jc w:val="center"/>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pStyle w:val="2347"/>
        <w:jc w:val="center"/>
        <w:spacing w:line="360" w:lineRule="auto"/>
        <w:rPr>
          <w:rFonts w:cs="宋体" w:asciiTheme="minorEastAsia" w:hAnsiTheme="minorEastAsia" w:eastAsiaTheme="minorEastAsia"/>
          <w:color w:val="auto"/>
          <w:sz w:val="28"/>
          <w:szCs w:val="28"/>
          <w:highlight w:val="none"/>
        </w:rPr>
        <w:sectPr>
          <w:footerReference w:type="first" r:id="rId13"/>
          <w:footnotePr/>
          <w:endnotePr/>
          <w:type w:val="nextPage"/>
          <w:pgSz w:w="11906" w:h="16838" w:orient="portrait"/>
          <w:pgMar w:top="1418" w:right="1418" w:bottom="1418" w:left="1418" w:header="851" w:footer="992" w:gutter="0"/>
          <w:cols w:num="1" w:sep="0" w:space="720" w:equalWidth="1"/>
          <w:docGrid w:linePitch="360"/>
        </w:sectPr>
      </w:pPr>
      <w:r>
        <w:rPr>
          <w:rFonts w:cs="宋体" w:asciiTheme="minorEastAsia" w:hAnsiTheme="minorEastAsia" w:eastAsiaTheme="minorEastAsia"/>
          <w:color w:val="auto"/>
          <w:sz w:val="28"/>
          <w:szCs w:val="28"/>
          <w:highlight w:val="none"/>
        </w:rPr>
      </w:r>
      <w:r/>
    </w:p>
    <w:p>
      <w:pPr>
        <w:pStyle w:val="2334"/>
        <w:jc w:val="center"/>
        <w:spacing w:line="560" w:lineRule="exact"/>
        <w:tabs>
          <w:tab w:val="left" w:pos="567" w:leader="none"/>
          <w:tab w:val="left" w:pos="709" w:leader="none"/>
          <w:tab w:val="left" w:pos="993" w:leader="none"/>
        </w:tabs>
        <w:rPr>
          <w:rFonts w:hint="eastAsia" w:cs="宋体"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lang w:eastAsia="zh-CN"/>
        </w:rPr>
        <w:t xml:space="preserve">（</w:t>
      </w:r>
      <w:r>
        <w:rPr>
          <w:rFonts w:hint="eastAsia" w:cs="宋体" w:asciiTheme="minorEastAsia" w:hAnsiTheme="minorEastAsia" w:eastAsiaTheme="minorEastAsia"/>
          <w:color w:val="auto"/>
          <w:sz w:val="28"/>
          <w:szCs w:val="28"/>
          <w:highlight w:val="none"/>
          <w:lang w:val="en-US" w:eastAsia="zh-CN"/>
        </w:rPr>
        <w:t xml:space="preserve">二</w:t>
      </w:r>
      <w:r>
        <w:rPr>
          <w:rFonts w:hint="eastAsia" w:cs="宋体" w:asciiTheme="minorEastAsia" w:hAnsiTheme="minorEastAsia" w:eastAsiaTheme="minorEastAsia"/>
          <w:color w:val="auto"/>
          <w:sz w:val="28"/>
          <w:szCs w:val="28"/>
          <w:highlight w:val="none"/>
          <w:lang w:eastAsia="zh-CN"/>
        </w:rPr>
        <w:t xml:space="preserve">）</w:t>
      </w:r>
      <w:r>
        <w:rPr>
          <w:rStyle w:val="1401"/>
          <w:rFonts w:hint="eastAsia" w:ascii="宋体" w:hAnsi="宋体" w:eastAsia="宋体" w:cs="宋体"/>
          <w:b/>
          <w:bCs/>
          <w:color w:val="auto"/>
          <w:sz w:val="28"/>
          <w:highlight w:val="none"/>
        </w:rPr>
        <w:t xml:space="preserve">商务部分响应情况</w:t>
      </w:r>
      <w:r/>
    </w:p>
    <w:p>
      <w:pPr>
        <w:pStyle w:val="2334"/>
        <w:spacing w:line="560" w:lineRule="exact"/>
        <w:tabs>
          <w:tab w:val="left" w:pos="567" w:leader="none"/>
          <w:tab w:val="left" w:pos="709" w:leader="none"/>
          <w:tab w:val="left" w:pos="993" w:leader="none"/>
        </w:tabs>
        <w:rPr>
          <w:rStyle w:val="1401"/>
          <w:rFonts w:hint="eastAsia" w:ascii="宋体" w:hAnsi="宋体" w:eastAsia="宋体" w:cs="宋体"/>
          <w:b/>
          <w:bCs/>
          <w:color w:val="auto"/>
          <w:sz w:val="24"/>
          <w:highlight w:val="none"/>
        </w:rPr>
      </w:pPr>
      <w:r>
        <w:rPr>
          <w:rStyle w:val="1401"/>
          <w:rFonts w:hint="eastAsia" w:ascii="宋体" w:hAnsi="宋体" w:eastAsia="宋体" w:cs="宋体"/>
          <w:b/>
          <w:bCs/>
          <w:color w:val="auto"/>
          <w:sz w:val="24"/>
          <w:highlight w:val="none"/>
        </w:rPr>
        <w:t xml:space="preserve">一、针对本项目采购文件“第四部分</w:t>
      </w:r>
      <w:r>
        <w:rPr>
          <w:rStyle w:val="1401"/>
          <w:rFonts w:hint="eastAsia" w:ascii="宋体" w:hAnsi="宋体" w:eastAsia="宋体" w:cs="宋体"/>
          <w:b/>
          <w:bCs/>
          <w:color w:val="auto"/>
          <w:sz w:val="24"/>
          <w:highlight w:val="none"/>
          <w:lang w:val="en-US" w:eastAsia="zh-CN"/>
        </w:rPr>
        <w:t xml:space="preserve"> </w:t>
      </w:r>
      <w:r>
        <w:rPr>
          <w:rStyle w:val="1401"/>
          <w:rFonts w:hint="eastAsia" w:ascii="宋体" w:hAnsi="宋体" w:eastAsia="宋体" w:cs="宋体"/>
          <w:b/>
          <w:bCs/>
          <w:color w:val="auto"/>
          <w:sz w:val="24"/>
          <w:highlight w:val="none"/>
        </w:rPr>
        <w:t xml:space="preserve">采购需求”的商务部分</w:t>
      </w:r>
      <w:r>
        <w:rPr>
          <w:rStyle w:val="2391"/>
          <w:rFonts w:hint="eastAsia" w:ascii="宋体" w:hAnsi="宋体" w:eastAsia="宋体" w:cs="宋体"/>
          <w:color w:val="auto"/>
          <w:highlight w:val="none"/>
        </w:rPr>
        <w:t xml:space="preserve">要求，</w:t>
      </w:r>
      <w:r>
        <w:rPr>
          <w:rStyle w:val="1401"/>
          <w:rFonts w:hint="eastAsia" w:ascii="宋体" w:hAnsi="宋体" w:eastAsia="宋体" w:cs="宋体"/>
          <w:b/>
          <w:bCs/>
          <w:color w:val="auto"/>
          <w:sz w:val="24"/>
          <w:highlight w:val="none"/>
        </w:rPr>
        <w:t xml:space="preserve">如供应商完全响应，请做如下承诺。</w:t>
      </w:r>
      <w:r/>
    </w:p>
    <w:p>
      <w:pPr>
        <w:pStyle w:val="2334"/>
        <w:jc w:val="center"/>
        <w:spacing w:line="480" w:lineRule="atLeast"/>
        <w:rPr>
          <w:rStyle w:val="1401"/>
          <w:rFonts w:hint="eastAsia" w:ascii="宋体" w:hAnsi="宋体" w:eastAsia="宋体" w:cs="宋体"/>
          <w:b/>
          <w:color w:val="auto"/>
          <w:sz w:val="32"/>
          <w:szCs w:val="32"/>
          <w:highlight w:val="none"/>
        </w:rPr>
      </w:pPr>
      <w:r>
        <w:rPr>
          <w:rStyle w:val="1401"/>
          <w:rFonts w:hint="eastAsia" w:ascii="宋体" w:hAnsi="宋体" w:eastAsia="宋体" w:cs="宋体"/>
          <w:b/>
          <w:color w:val="auto"/>
          <w:sz w:val="32"/>
          <w:szCs w:val="32"/>
          <w:highlight w:val="none"/>
        </w:rPr>
        <w:t xml:space="preserve">商务部分响应承诺函</w:t>
      </w:r>
      <w:r/>
    </w:p>
    <w:p>
      <w:pPr>
        <w:pStyle w:val="2334"/>
        <w:spacing w:line="480" w:lineRule="atLeast"/>
        <w:rPr>
          <w:rStyle w:val="1401"/>
          <w:rFonts w:hint="eastAsia" w:ascii="宋体" w:hAnsi="宋体" w:eastAsia="宋体" w:cs="宋体"/>
          <w:b/>
          <w:color w:val="auto"/>
          <w:sz w:val="24"/>
          <w:highlight w:val="none"/>
          <w:u w:val="single"/>
        </w:rPr>
      </w:pPr>
      <w:r>
        <w:rPr>
          <w:rStyle w:val="1401"/>
          <w:rFonts w:hint="eastAsia" w:ascii="宋体" w:hAnsi="宋体" w:eastAsia="宋体" w:cs="宋体"/>
          <w:b/>
          <w:color w:val="auto"/>
          <w:sz w:val="24"/>
          <w:highlight w:val="none"/>
          <w:u w:val="single"/>
        </w:rPr>
        <w:t xml:space="preserve">    （采购人名称）    </w:t>
      </w:r>
      <w:r>
        <w:rPr>
          <w:rStyle w:val="1401"/>
          <w:rFonts w:hint="eastAsia" w:ascii="宋体" w:hAnsi="宋体" w:eastAsia="宋体" w:cs="宋体"/>
          <w:b/>
          <w:color w:val="auto"/>
          <w:sz w:val="24"/>
          <w:highlight w:val="none"/>
        </w:rPr>
        <w:t xml:space="preserve">：</w:t>
      </w:r>
      <w:r/>
    </w:p>
    <w:p>
      <w:pPr>
        <w:pStyle w:val="2334"/>
        <w:ind w:firstLine="480"/>
        <w:spacing w:line="480" w:lineRule="atLeast"/>
        <w:rPr>
          <w:rStyle w:val="1401"/>
          <w:rFonts w:hint="eastAsia" w:ascii="宋体" w:hAnsi="宋体" w:eastAsia="宋体" w:cs="宋体"/>
          <w:bCs/>
          <w:color w:val="auto"/>
          <w:sz w:val="24"/>
          <w:highlight w:val="none"/>
        </w:rPr>
      </w:pPr>
      <w:r>
        <w:rPr>
          <w:rStyle w:val="1401"/>
          <w:rFonts w:hint="eastAsia" w:ascii="宋体" w:hAnsi="宋体" w:eastAsia="宋体" w:cs="宋体"/>
          <w:bCs/>
          <w:color w:val="auto"/>
          <w:sz w:val="24"/>
          <w:highlight w:val="none"/>
        </w:rPr>
        <w:t xml:space="preserve">我单位保证：已</w:t>
      </w:r>
      <w:r>
        <w:rPr>
          <w:rFonts w:hint="eastAsia" w:ascii="宋体" w:hAnsi="宋体" w:eastAsia="宋体" w:cs="宋体"/>
          <w:color w:val="auto"/>
          <w:sz w:val="24"/>
          <w:szCs w:val="24"/>
          <w:highlight w:val="none"/>
        </w:rPr>
        <w:t xml:space="preserve">充分理解并确认</w:t>
      </w:r>
      <w:r>
        <w:rPr>
          <w:rFonts w:hint="eastAsia" w:ascii="宋体" w:hAnsi="宋体" w:eastAsia="宋体" w:cs="宋体"/>
          <w:color w:val="auto"/>
          <w:sz w:val="24"/>
          <w:szCs w:val="24"/>
          <w:highlight w:val="none"/>
          <w:u w:val="single"/>
          <w:lang w:val="en-US" w:eastAsia="zh-CN"/>
        </w:rPr>
        <w:t xml:space="preserve">          （项目名称）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Style w:val="1401"/>
          <w:rFonts w:hint="eastAsia" w:ascii="宋体" w:hAnsi="宋体" w:eastAsia="宋体" w:cs="宋体"/>
          <w:bCs/>
          <w:color w:val="auto"/>
          <w:sz w:val="24"/>
          <w:szCs w:val="22"/>
          <w:highlight w:val="none"/>
        </w:rPr>
        <w:t xml:space="preserve">招标文件“第四部分 采购需求”</w:t>
      </w:r>
      <w:r>
        <w:rPr>
          <w:rStyle w:val="2391"/>
          <w:rFonts w:hint="eastAsia" w:ascii="宋体" w:hAnsi="宋体" w:eastAsia="宋体" w:cs="宋体"/>
          <w:b w:val="0"/>
          <w:color w:val="auto"/>
          <w:highlight w:val="none"/>
        </w:rPr>
        <w:t xml:space="preserve">中全部商务部分</w:t>
      </w:r>
      <w:r>
        <w:rPr>
          <w:rStyle w:val="1401"/>
          <w:rFonts w:hint="eastAsia" w:ascii="宋体" w:hAnsi="宋体" w:eastAsia="宋体" w:cs="宋体"/>
          <w:bCs/>
          <w:color w:val="auto"/>
          <w:sz w:val="24"/>
          <w:highlight w:val="none"/>
        </w:rPr>
        <w:t xml:space="preserve">要求，所有条款均完全满足且无任何偏离。如未能按招标文件要求履行服务，我单位将自愿承担全部违约责任。</w:t>
      </w:r>
      <w:r/>
    </w:p>
    <w:p>
      <w:pPr>
        <w:pStyle w:val="2334"/>
        <w:ind w:firstLine="480"/>
        <w:spacing w:line="480" w:lineRule="atLeast"/>
        <w:rPr>
          <w:rStyle w:val="1401"/>
          <w:rFonts w:hint="eastAsia" w:ascii="宋体" w:hAnsi="宋体" w:eastAsia="宋体" w:cs="宋体"/>
          <w:bCs/>
          <w:color w:val="auto"/>
          <w:sz w:val="24"/>
          <w:highlight w:val="none"/>
        </w:rPr>
      </w:pPr>
      <w:r>
        <w:rPr>
          <w:rStyle w:val="1401"/>
          <w:rFonts w:hint="eastAsia" w:ascii="宋体" w:hAnsi="宋体" w:eastAsia="宋体" w:cs="宋体"/>
          <w:bCs/>
          <w:color w:val="auto"/>
          <w:sz w:val="24"/>
          <w:highlight w:val="none"/>
        </w:rPr>
        <w:t xml:space="preserve">特此承诺！</w:t>
      </w:r>
      <w:r/>
    </w:p>
    <w:p>
      <w:pPr>
        <w:pStyle w:val="2392"/>
        <w:rPr>
          <w:rStyle w:val="1401"/>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2334"/>
        <w:jc w:val="center"/>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z w:val="24"/>
          <w:highlight w:val="none"/>
        </w:rPr>
        <w:t xml:space="preserve">                    </w:t>
      </w:r>
      <w:r>
        <w:rPr>
          <w:rStyle w:val="1401"/>
          <w:rFonts w:hint="eastAsia" w:ascii="宋体" w:hAnsi="宋体" w:eastAsia="宋体" w:cs="宋体"/>
          <w:color w:val="auto"/>
          <w:sz w:val="22"/>
          <w:highlight w:val="none"/>
        </w:rPr>
        <w:t xml:space="preserve">      </w:t>
      </w:r>
      <w:r>
        <w:rPr>
          <w:rStyle w:val="1401"/>
          <w:rFonts w:hint="eastAsia" w:ascii="宋体" w:hAnsi="宋体" w:eastAsia="宋体" w:cs="宋体"/>
          <w:color w:val="auto"/>
          <w:sz w:val="24"/>
          <w:highlight w:val="none"/>
        </w:rPr>
        <w:t xml:space="preserve">投标人（公章）：</w:t>
      </w:r>
      <w:r/>
    </w:p>
    <w:p>
      <w:pPr>
        <w:pStyle w:val="2334"/>
        <w:jc w:val="center"/>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pacing w:val="-2"/>
          <w:sz w:val="24"/>
          <w:highlight w:val="none"/>
        </w:rPr>
        <w:t xml:space="preserve">法</w:t>
      </w:r>
      <w:r>
        <w:rPr>
          <w:rStyle w:val="1401"/>
          <w:rFonts w:hint="eastAsia" w:ascii="宋体" w:hAnsi="宋体" w:eastAsia="宋体" w:cs="宋体"/>
          <w:color w:val="auto"/>
          <w:sz w:val="24"/>
          <w:highlight w:val="none"/>
        </w:rPr>
        <w:t xml:space="preserve">定</w:t>
      </w:r>
      <w:r>
        <w:rPr>
          <w:rStyle w:val="1401"/>
          <w:rFonts w:hint="eastAsia" w:ascii="宋体" w:hAnsi="宋体" w:eastAsia="宋体" w:cs="宋体"/>
          <w:color w:val="auto"/>
          <w:spacing w:val="-2"/>
          <w:sz w:val="24"/>
          <w:highlight w:val="none"/>
        </w:rPr>
        <w:t xml:space="preserve">代</w:t>
      </w:r>
      <w:r>
        <w:rPr>
          <w:rStyle w:val="1401"/>
          <w:rFonts w:hint="eastAsia" w:ascii="宋体" w:hAnsi="宋体" w:eastAsia="宋体" w:cs="宋体"/>
          <w:color w:val="auto"/>
          <w:sz w:val="24"/>
          <w:highlight w:val="none"/>
        </w:rPr>
        <w:t xml:space="preserve">表</w:t>
      </w:r>
      <w:r>
        <w:rPr>
          <w:rStyle w:val="1401"/>
          <w:rFonts w:hint="eastAsia" w:ascii="宋体" w:hAnsi="宋体" w:eastAsia="宋体" w:cs="宋体"/>
          <w:color w:val="auto"/>
          <w:spacing w:val="-2"/>
          <w:sz w:val="24"/>
          <w:highlight w:val="none"/>
        </w:rPr>
        <w:t xml:space="preserve">人</w:t>
      </w:r>
      <w:r>
        <w:rPr>
          <w:rStyle w:val="1401"/>
          <w:rFonts w:hint="eastAsia" w:ascii="宋体" w:hAnsi="宋体" w:eastAsia="宋体" w:cs="宋体"/>
          <w:color w:val="auto"/>
          <w:sz w:val="24"/>
          <w:highlight w:val="none"/>
        </w:rPr>
        <w:t xml:space="preserve">或其授权的代理人（签字或盖章）：</w:t>
      </w:r>
      <w:r/>
    </w:p>
    <w:p>
      <w:pPr>
        <w:pStyle w:val="2334"/>
        <w:jc w:val="right"/>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z w:val="24"/>
          <w:highlight w:val="none"/>
        </w:rPr>
        <w:t xml:space="preserve">日      期：   年    月    日</w:t>
      </w:r>
      <w:r/>
    </w:p>
    <w:p>
      <w:pPr>
        <w:pStyle w:val="2334"/>
        <w:rPr>
          <w:rStyle w:val="1401"/>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2334"/>
        <w:jc w:val="left"/>
        <w:rPr>
          <w:rStyle w:val="1401"/>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2334"/>
        <w:jc w:val="left"/>
        <w:rPr>
          <w:rStyle w:val="1401"/>
          <w:rFonts w:hint="eastAsia" w:ascii="宋体" w:hAnsi="宋体" w:eastAsia="宋体" w:cs="宋体"/>
          <w:b/>
          <w:bCs/>
          <w:color w:val="auto"/>
          <w:sz w:val="24"/>
          <w:highlight w:val="none"/>
        </w:rPr>
      </w:pPr>
      <w:r>
        <w:rPr>
          <w:rStyle w:val="1401"/>
          <w:rFonts w:hint="eastAsia" w:ascii="宋体" w:hAnsi="宋体" w:eastAsia="宋体" w:cs="宋体"/>
          <w:b/>
          <w:bCs/>
          <w:color w:val="auto"/>
          <w:sz w:val="24"/>
          <w:highlight w:val="none"/>
        </w:rPr>
        <w:t xml:space="preserve">二、商务部分要求如有负偏离，请如实填写下表（如有）：</w:t>
      </w:r>
      <w:r/>
    </w:p>
    <w:tbl>
      <w:tblPr>
        <w:tblStyle w:val="764"/>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92"/>
        <w:gridCol w:w="2688"/>
        <w:gridCol w:w="2638"/>
        <w:gridCol w:w="1767"/>
        <w:gridCol w:w="1443"/>
      </w:tblGrid>
      <w:tr>
        <w:trPr>
          <w:jc w:val="center"/>
          <w:trHeight w:val="662"/>
        </w:trPr>
        <w:tc>
          <w:tcPr>
            <w:tcMar>
              <w:left w:w="0" w:type="dxa"/>
              <w:top w:w="0" w:type="dxa"/>
              <w:right w:w="0" w:type="dxa"/>
              <w:bottom w:w="0" w:type="dxa"/>
            </w:tcMar>
            <w:tcW w:w="91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2770"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商务要求内容</w:t>
            </w:r>
            <w:r/>
          </w:p>
        </w:tc>
        <w:tc>
          <w:tcPr>
            <w:tcMar>
              <w:left w:w="0" w:type="dxa"/>
              <w:top w:w="0" w:type="dxa"/>
              <w:right w:w="0" w:type="dxa"/>
              <w:bottom w:w="0" w:type="dxa"/>
            </w:tcMar>
            <w:tcW w:w="2719"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实际响应情况</w:t>
            </w:r>
            <w:r/>
          </w:p>
        </w:tc>
        <w:tc>
          <w:tcPr>
            <w:tcMar>
              <w:left w:w="0" w:type="dxa"/>
              <w:top w:w="0" w:type="dxa"/>
              <w:right w:w="0" w:type="dxa"/>
              <w:bottom w:w="0" w:type="dxa"/>
            </w:tcMar>
            <w:tcW w:w="1818"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偏离内容</w:t>
            </w:r>
            <w:r/>
          </w:p>
        </w:tc>
        <w:tc>
          <w:tcPr>
            <w:tcMar>
              <w:left w:w="0" w:type="dxa"/>
              <w:top w:w="0" w:type="dxa"/>
              <w:right w:w="0" w:type="dxa"/>
              <w:bottom w:w="0" w:type="dxa"/>
            </w:tcMar>
            <w:tcW w:w="148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2770"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2</w:t>
            </w:r>
            <w:r/>
          </w:p>
        </w:tc>
        <w:tc>
          <w:tcPr>
            <w:tcMar>
              <w:left w:w="0" w:type="dxa"/>
              <w:top w:w="0" w:type="dxa"/>
              <w:right w:w="0" w:type="dxa"/>
              <w:bottom w:w="0" w:type="dxa"/>
            </w:tcMar>
            <w:tcW w:w="2770"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Style w:val="1401"/>
                <w:rFonts w:hint="eastAsia" w:ascii="宋体" w:hAnsi="宋体" w:eastAsia="宋体" w:cs="宋体"/>
                <w:color w:val="auto"/>
                <w:sz w:val="22"/>
                <w:szCs w:val="22"/>
                <w:highlight w:val="none"/>
              </w:rPr>
              <w:t xml:space="preserve">…</w:t>
            </w:r>
            <w:r/>
          </w:p>
        </w:tc>
        <w:tc>
          <w:tcPr>
            <w:tcMar>
              <w:left w:w="0" w:type="dxa"/>
              <w:top w:w="0" w:type="dxa"/>
              <w:right w:w="0" w:type="dxa"/>
              <w:bottom w:w="0" w:type="dxa"/>
            </w:tcMar>
            <w:tcW w:w="2770"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393"/>
              <w:jc w:val="center"/>
              <w:rPr>
                <w:rStyle w:val="1401"/>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2334"/>
        <w:rPr>
          <w:rStyle w:val="1401"/>
          <w:rFonts w:hint="eastAsia" w:ascii="宋体" w:hAnsi="宋体" w:eastAsia="宋体" w:cs="宋体"/>
          <w:color w:val="auto"/>
          <w:highlight w:val="none"/>
        </w:rPr>
      </w:pPr>
      <w:r>
        <w:rPr>
          <w:rStyle w:val="1401"/>
          <w:rFonts w:hint="eastAsia" w:ascii="宋体" w:hAnsi="宋体" w:eastAsia="宋体" w:cs="宋体"/>
          <w:color w:val="auto"/>
          <w:highlight w:val="none"/>
        </w:rPr>
        <w:t xml:space="preserve">说明：投标人应如实填写，如履约时发现不能按上述内容履约的，采购人有权</w:t>
      </w:r>
      <w:r>
        <w:rPr>
          <w:rStyle w:val="1401"/>
          <w:rFonts w:hint="eastAsia" w:ascii="宋体" w:hAnsi="宋体" w:eastAsia="宋体" w:cs="宋体"/>
          <w:color w:val="auto"/>
          <w:highlight w:val="none"/>
          <w:lang w:val="en-US" w:eastAsia="zh-CN"/>
        </w:rPr>
        <w:t xml:space="preserve">单方面解除合同</w:t>
      </w:r>
      <w:r>
        <w:rPr>
          <w:rStyle w:val="1401"/>
          <w:rFonts w:hint="eastAsia" w:ascii="宋体" w:hAnsi="宋体" w:eastAsia="宋体" w:cs="宋体"/>
          <w:color w:val="auto"/>
          <w:highlight w:val="none"/>
        </w:rPr>
        <w:t xml:space="preserve">。投标人应负相应法律责任及违约责任。</w:t>
      </w:r>
      <w:r/>
    </w:p>
    <w:p>
      <w:pPr>
        <w:pStyle w:val="2334"/>
        <w:jc w:val="right"/>
        <w:spacing w:line="360" w:lineRule="auto"/>
        <w:rPr>
          <w:rStyle w:val="1401"/>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2334"/>
        <w:jc w:val="right"/>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z w:val="24"/>
          <w:highlight w:val="none"/>
        </w:rPr>
        <w:t xml:space="preserve">                          投标人（公章）：</w:t>
      </w:r>
      <w:r/>
    </w:p>
    <w:p>
      <w:pPr>
        <w:pStyle w:val="2334"/>
        <w:jc w:val="right"/>
        <w:spacing w:line="360" w:lineRule="auto"/>
        <w:rPr>
          <w:rStyle w:val="1401"/>
          <w:rFonts w:hint="eastAsia" w:ascii="宋体" w:hAnsi="宋体" w:eastAsia="宋体" w:cs="宋体"/>
          <w:color w:val="auto"/>
          <w:sz w:val="24"/>
          <w:highlight w:val="none"/>
        </w:rPr>
      </w:pPr>
      <w:r>
        <w:rPr>
          <w:rStyle w:val="1401"/>
          <w:rFonts w:hint="eastAsia" w:ascii="宋体" w:hAnsi="宋体" w:eastAsia="宋体" w:cs="宋体"/>
          <w:color w:val="auto"/>
          <w:spacing w:val="-2"/>
          <w:sz w:val="24"/>
          <w:highlight w:val="none"/>
        </w:rPr>
        <w:t xml:space="preserve">法</w:t>
      </w:r>
      <w:r>
        <w:rPr>
          <w:rStyle w:val="1401"/>
          <w:rFonts w:hint="eastAsia" w:ascii="宋体" w:hAnsi="宋体" w:eastAsia="宋体" w:cs="宋体"/>
          <w:color w:val="auto"/>
          <w:sz w:val="24"/>
          <w:highlight w:val="none"/>
        </w:rPr>
        <w:t xml:space="preserve">定</w:t>
      </w:r>
      <w:r>
        <w:rPr>
          <w:rStyle w:val="1401"/>
          <w:rFonts w:hint="eastAsia" w:ascii="宋体" w:hAnsi="宋体" w:eastAsia="宋体" w:cs="宋体"/>
          <w:color w:val="auto"/>
          <w:spacing w:val="-2"/>
          <w:sz w:val="24"/>
          <w:highlight w:val="none"/>
        </w:rPr>
        <w:t xml:space="preserve">代</w:t>
      </w:r>
      <w:r>
        <w:rPr>
          <w:rStyle w:val="1401"/>
          <w:rFonts w:hint="eastAsia" w:ascii="宋体" w:hAnsi="宋体" w:eastAsia="宋体" w:cs="宋体"/>
          <w:color w:val="auto"/>
          <w:sz w:val="24"/>
          <w:highlight w:val="none"/>
        </w:rPr>
        <w:t xml:space="preserve">表</w:t>
      </w:r>
      <w:r>
        <w:rPr>
          <w:rStyle w:val="1401"/>
          <w:rFonts w:hint="eastAsia" w:ascii="宋体" w:hAnsi="宋体" w:eastAsia="宋体" w:cs="宋体"/>
          <w:color w:val="auto"/>
          <w:spacing w:val="-2"/>
          <w:sz w:val="24"/>
          <w:highlight w:val="none"/>
        </w:rPr>
        <w:t xml:space="preserve">人</w:t>
      </w:r>
      <w:r>
        <w:rPr>
          <w:rStyle w:val="1401"/>
          <w:rFonts w:hint="eastAsia" w:ascii="宋体" w:hAnsi="宋体" w:eastAsia="宋体" w:cs="宋体"/>
          <w:color w:val="auto"/>
          <w:sz w:val="24"/>
          <w:highlight w:val="none"/>
        </w:rPr>
        <w:t xml:space="preserve">或其授权的代理人（签字或盖章）：</w:t>
      </w:r>
      <w:r/>
    </w:p>
    <w:p>
      <w:pPr>
        <w:pStyle w:val="2347"/>
        <w:jc w:val="right"/>
        <w:spacing w:line="360" w:lineRule="auto"/>
        <w:rPr>
          <w:rFonts w:hint="eastAsia" w:cs="宋体" w:asciiTheme="minorEastAsia" w:hAnsiTheme="minorEastAsia" w:eastAsiaTheme="minorEastAsia"/>
          <w:color w:val="auto"/>
          <w:sz w:val="28"/>
          <w:szCs w:val="28"/>
          <w:highlight w:val="none"/>
          <w:lang w:eastAsia="zh-CN"/>
        </w:rPr>
        <w:sectPr>
          <w:footnotePr/>
          <w:endnotePr/>
          <w:type w:val="nextPage"/>
          <w:pgSz w:w="11906" w:h="16838" w:orient="portrait"/>
          <w:pgMar w:top="1418" w:right="1418" w:bottom="1418" w:left="1418" w:header="851" w:footer="992" w:gutter="0"/>
          <w:cols w:num="1" w:sep="0" w:space="720" w:equalWidth="1"/>
          <w:docGrid w:linePitch="360"/>
        </w:sectPr>
      </w:pPr>
      <w:r>
        <w:rPr>
          <w:rStyle w:val="1401"/>
          <w:rFonts w:hint="eastAsia" w:ascii="宋体" w:hAnsi="宋体" w:eastAsia="宋体" w:cs="宋体"/>
          <w:color w:val="auto"/>
          <w:sz w:val="24"/>
          <w:highlight w:val="none"/>
        </w:rPr>
        <w:t xml:space="preserve">日      期：   年    月    日</w:t>
      </w:r>
      <w:r/>
    </w:p>
    <w:p>
      <w:pPr>
        <w:pStyle w:val="766"/>
        <w:ind w:firstLine="3020"/>
        <w:jc w:val="left"/>
        <w:spacing w:line="360" w:lineRule="auto"/>
        <w:rPr>
          <w:rFonts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七、其他部分</w:t>
      </w:r>
      <w:r/>
    </w:p>
    <w:p>
      <w:pPr>
        <w:pStyle w:val="756"/>
        <w:ind w:firstLine="643"/>
        <w:jc w:val="center"/>
        <w:keepLines w:val="0"/>
        <w:keepNext w:val="0"/>
        <w:spacing w:before="0" w:after="0" w:line="360" w:lineRule="auto"/>
        <w:rPr>
          <w:rFonts w:asciiTheme="minorEastAsia" w:hAnsiTheme="minorEastAsia" w:eastAsiaTheme="minorEastAsia"/>
          <w:color w:val="auto"/>
          <w:szCs w:val="32"/>
          <w:highlight w:val="none"/>
          <w:lang w:eastAsia="zh-CN"/>
        </w:rPr>
      </w:pPr>
      <w:r>
        <w:rPr>
          <w:rFonts w:hint="eastAsia" w:asciiTheme="minorEastAsia" w:hAnsiTheme="minorEastAsia" w:eastAsiaTheme="minorEastAsia"/>
          <w:color w:val="auto"/>
          <w:szCs w:val="32"/>
          <w:highlight w:val="none"/>
          <w:lang w:eastAsia="zh-CN"/>
        </w:rPr>
        <w:t xml:space="preserve">（一）中小企业声明函（货物类）</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本公司（联合体）郑重声明，根据《政府采购促进中小企业发展管理办法》（财库﹝2020﹞46 号）的规定，本公司（联合体）参加</w:t>
      </w:r>
      <w:r>
        <w:rPr>
          <w:rFonts w:hint="eastAsia" w:cs="Arial" w:asciiTheme="minorEastAsia" w:hAnsiTheme="minorEastAsia" w:eastAsiaTheme="minorEastAsia"/>
          <w:color w:val="auto"/>
          <w:spacing w:val="6"/>
          <w:sz w:val="24"/>
          <w:highlight w:val="none"/>
          <w:u w:val="single"/>
          <w:lang w:eastAsia="zh-CN"/>
        </w:rPr>
        <w:t xml:space="preserve">（单位名称）</w:t>
      </w:r>
      <w:r>
        <w:rPr>
          <w:rFonts w:hint="eastAsia" w:cs="Arial" w:asciiTheme="minorEastAsia" w:hAnsiTheme="minorEastAsia" w:eastAsiaTheme="minorEastAsia"/>
          <w:color w:val="auto"/>
          <w:spacing w:val="6"/>
          <w:sz w:val="24"/>
          <w:highlight w:val="none"/>
          <w:lang w:eastAsia="zh-CN"/>
        </w:rPr>
        <w:t xml:space="preserve">的</w:t>
      </w:r>
      <w:r>
        <w:rPr>
          <w:rFonts w:hint="eastAsia" w:cs="Arial" w:asciiTheme="minorEastAsia" w:hAnsiTheme="minorEastAsia" w:eastAsiaTheme="minorEastAsia"/>
          <w:color w:val="auto"/>
          <w:spacing w:val="6"/>
          <w:sz w:val="24"/>
          <w:highlight w:val="none"/>
          <w:u w:val="single"/>
          <w:lang w:eastAsia="zh-CN"/>
        </w:rPr>
        <w:t xml:space="preserve">（项目名称）</w:t>
      </w:r>
      <w:r>
        <w:rPr>
          <w:rFonts w:hint="eastAsia" w:cs="Arial" w:asciiTheme="minorEastAsia" w:hAnsiTheme="minorEastAsia" w:eastAsiaTheme="minorEastAsia"/>
          <w:color w:val="auto"/>
          <w:spacing w:val="6"/>
          <w:sz w:val="24"/>
          <w:highlight w:val="none"/>
          <w:lang w:eastAsia="zh-CN"/>
        </w:rPr>
        <w:t xml:space="preserve">采购活动，提供的货物全部由符合政策要求的中小企业制造。相关企业（含联合体中的中小企业、签订分包意向协议的中小企业）的具体情况如下：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1.</w:t>
      </w:r>
      <w:r>
        <w:rPr>
          <w:rFonts w:hint="eastAsia" w:cs="Arial" w:asciiTheme="minorEastAsia" w:hAnsiTheme="minorEastAsia" w:eastAsiaTheme="minorEastAsia"/>
          <w:color w:val="auto"/>
          <w:spacing w:val="6"/>
          <w:sz w:val="24"/>
          <w:highlight w:val="none"/>
          <w:u w:val="single"/>
          <w:lang w:eastAsia="zh-CN"/>
        </w:rPr>
        <w:t xml:space="preserve">（标的名称）</w:t>
      </w:r>
      <w:r>
        <w:rPr>
          <w:rFonts w:hint="eastAsia" w:cs="Arial" w:asciiTheme="minorEastAsia" w:hAnsiTheme="minorEastAsia" w:eastAsiaTheme="minorEastAsia"/>
          <w:color w:val="auto"/>
          <w:spacing w:val="6"/>
          <w:sz w:val="24"/>
          <w:highlight w:val="none"/>
          <w:lang w:eastAsia="zh-CN"/>
        </w:rPr>
        <w:t xml:space="preserve">，属于</w:t>
      </w:r>
      <w:r>
        <w:rPr>
          <w:rFonts w:hint="eastAsia" w:cs="Arial" w:asciiTheme="minorEastAsia" w:hAnsiTheme="minorEastAsia" w:eastAsiaTheme="minorEastAsia"/>
          <w:color w:val="auto"/>
          <w:spacing w:val="6"/>
          <w:sz w:val="24"/>
          <w:highlight w:val="none"/>
          <w:u w:val="single"/>
          <w:lang w:eastAsia="zh-CN"/>
        </w:rPr>
        <w:t xml:space="preserve">（采购文件中明确的所属行业）</w:t>
      </w:r>
      <w:r>
        <w:rPr>
          <w:rFonts w:hint="eastAsia" w:cs="Arial" w:asciiTheme="minorEastAsia" w:hAnsiTheme="minorEastAsia" w:eastAsiaTheme="minorEastAsia"/>
          <w:color w:val="auto"/>
          <w:spacing w:val="6"/>
          <w:sz w:val="24"/>
          <w:highlight w:val="none"/>
          <w:lang w:eastAsia="zh-CN"/>
        </w:rPr>
        <w:t xml:space="preserve">行业；制造商为</w:t>
      </w:r>
      <w:r>
        <w:rPr>
          <w:rFonts w:hint="eastAsia" w:cs="Arial" w:asciiTheme="minorEastAsia" w:hAnsiTheme="minorEastAsia" w:eastAsiaTheme="minorEastAsia"/>
          <w:color w:val="auto"/>
          <w:spacing w:val="6"/>
          <w:sz w:val="24"/>
          <w:highlight w:val="none"/>
          <w:u w:val="single"/>
          <w:lang w:eastAsia="zh-CN"/>
        </w:rPr>
        <w:t xml:space="preserve">（企业名称）</w:t>
      </w:r>
      <w:r>
        <w:rPr>
          <w:rFonts w:hint="eastAsia" w:cs="Arial" w:asciiTheme="minorEastAsia" w:hAnsiTheme="minorEastAsia" w:eastAsiaTheme="minorEastAsia"/>
          <w:color w:val="auto"/>
          <w:spacing w:val="6"/>
          <w:sz w:val="24"/>
          <w:highlight w:val="none"/>
          <w:lang w:eastAsia="zh-CN"/>
        </w:rPr>
        <w:t xml:space="preserve">，从业人员</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人，营业收入为</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万元，资产总额为</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万元，属于</w:t>
      </w:r>
      <w:bookmarkStart w:id="251" w:name="_Hlk133157441"/>
      <w:r>
        <w:rPr>
          <w:rFonts w:hint="eastAsia" w:cs="Arial" w:asciiTheme="minorEastAsia" w:hAnsiTheme="minorEastAsia" w:eastAsiaTheme="minorEastAsia"/>
          <w:color w:val="auto"/>
          <w:spacing w:val="6"/>
          <w:sz w:val="24"/>
          <w:highlight w:val="none"/>
          <w:u w:val="single"/>
          <w:lang w:eastAsia="zh-CN"/>
        </w:rPr>
        <w:t xml:space="preserve">（中型企业、小型企业、微型企业）</w:t>
      </w:r>
      <w:bookmarkEnd w:id="251"/>
      <w:r>
        <w:rPr>
          <w:rFonts w:hint="eastAsia" w:cs="Arial" w:asciiTheme="minorEastAsia" w:hAnsiTheme="minorEastAsia" w:eastAsiaTheme="minorEastAsia"/>
          <w:color w:val="auto"/>
          <w:spacing w:val="6"/>
          <w:sz w:val="24"/>
          <w:highlight w:val="none"/>
          <w:lang w:eastAsia="zh-CN"/>
        </w:rPr>
        <w:t xml:space="preserve">；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2.</w:t>
      </w:r>
      <w:r>
        <w:rPr>
          <w:rFonts w:hint="eastAsia" w:cs="Arial" w:asciiTheme="minorEastAsia" w:hAnsiTheme="minorEastAsia" w:eastAsiaTheme="minorEastAsia"/>
          <w:color w:val="auto"/>
          <w:spacing w:val="6"/>
          <w:sz w:val="24"/>
          <w:highlight w:val="none"/>
          <w:u w:val="single"/>
          <w:lang w:eastAsia="zh-CN"/>
        </w:rPr>
        <w:t xml:space="preserve"> （标的名称）</w:t>
      </w:r>
      <w:r>
        <w:rPr>
          <w:rFonts w:hint="eastAsia" w:cs="Arial" w:asciiTheme="minorEastAsia" w:hAnsiTheme="minorEastAsia" w:eastAsiaTheme="minorEastAsia"/>
          <w:color w:val="auto"/>
          <w:spacing w:val="6"/>
          <w:sz w:val="24"/>
          <w:highlight w:val="none"/>
          <w:lang w:eastAsia="zh-CN"/>
        </w:rPr>
        <w:t xml:space="preserve">，属于</w:t>
      </w:r>
      <w:r>
        <w:rPr>
          <w:rFonts w:hint="eastAsia" w:cs="Arial" w:asciiTheme="minorEastAsia" w:hAnsiTheme="minorEastAsia" w:eastAsiaTheme="minorEastAsia"/>
          <w:color w:val="auto"/>
          <w:spacing w:val="6"/>
          <w:sz w:val="24"/>
          <w:highlight w:val="none"/>
          <w:u w:val="single"/>
          <w:lang w:eastAsia="zh-CN"/>
        </w:rPr>
        <w:t xml:space="preserve">（</w:t>
      </w:r>
      <w:bookmarkStart w:id="252" w:name="_Hlk136503202"/>
      <w:r>
        <w:rPr>
          <w:rFonts w:hint="eastAsia" w:cs="Arial" w:asciiTheme="minorEastAsia" w:hAnsiTheme="minorEastAsia" w:eastAsiaTheme="minorEastAsia"/>
          <w:color w:val="auto"/>
          <w:spacing w:val="6"/>
          <w:sz w:val="24"/>
          <w:highlight w:val="none"/>
          <w:u w:val="single"/>
          <w:lang w:eastAsia="zh-CN"/>
        </w:rPr>
        <w:t xml:space="preserve">采购文件中明确的所属行业</w:t>
      </w:r>
      <w:bookmarkEnd w:id="252"/>
      <w:r>
        <w:rPr>
          <w:rFonts w:hint="eastAsia" w:cs="Arial" w:asciiTheme="minorEastAsia" w:hAnsiTheme="minorEastAsia" w:eastAsiaTheme="minorEastAsia"/>
          <w:color w:val="auto"/>
          <w:spacing w:val="6"/>
          <w:sz w:val="24"/>
          <w:highlight w:val="none"/>
          <w:u w:val="single"/>
          <w:lang w:eastAsia="zh-CN"/>
        </w:rPr>
        <w:t xml:space="preserve">）</w:t>
      </w:r>
      <w:r>
        <w:rPr>
          <w:rFonts w:hint="eastAsia" w:cs="Arial" w:asciiTheme="minorEastAsia" w:hAnsiTheme="minorEastAsia" w:eastAsiaTheme="minorEastAsia"/>
          <w:color w:val="auto"/>
          <w:spacing w:val="6"/>
          <w:sz w:val="24"/>
          <w:highlight w:val="none"/>
          <w:lang w:eastAsia="zh-CN"/>
        </w:rPr>
        <w:t xml:space="preserve">行业；制造商为</w:t>
      </w:r>
      <w:r>
        <w:rPr>
          <w:rFonts w:hint="eastAsia" w:cs="Arial" w:asciiTheme="minorEastAsia" w:hAnsiTheme="minorEastAsia" w:eastAsiaTheme="minorEastAsia"/>
          <w:color w:val="auto"/>
          <w:spacing w:val="6"/>
          <w:sz w:val="24"/>
          <w:highlight w:val="none"/>
          <w:u w:val="single"/>
          <w:lang w:eastAsia="zh-CN"/>
        </w:rPr>
        <w:t xml:space="preserve">（企业名称）</w:t>
      </w:r>
      <w:r>
        <w:rPr>
          <w:rFonts w:hint="eastAsia" w:cs="Arial" w:asciiTheme="minorEastAsia" w:hAnsiTheme="minorEastAsia" w:eastAsiaTheme="minorEastAsia"/>
          <w:color w:val="auto"/>
          <w:spacing w:val="6"/>
          <w:sz w:val="24"/>
          <w:highlight w:val="none"/>
          <w:lang w:eastAsia="zh-CN"/>
        </w:rPr>
        <w:t xml:space="preserve">，从业人员</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人，营业收入为</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万元，资产总额为</w:t>
      </w:r>
      <w:r>
        <w:rPr>
          <w:rFonts w:hint="eastAsia" w:cs="Arial" w:asciiTheme="minorEastAsia" w:hAnsiTheme="minorEastAsia" w:eastAsiaTheme="minorEastAsia"/>
          <w:color w:val="auto"/>
          <w:spacing w:val="6"/>
          <w:sz w:val="24"/>
          <w:highlight w:val="none"/>
          <w:u w:val="single"/>
          <w:lang w:eastAsia="zh-CN"/>
        </w:rPr>
        <w:t xml:space="preserve">  </w:t>
      </w:r>
      <w:r>
        <w:rPr>
          <w:rFonts w:hint="eastAsia" w:cs="Arial" w:asciiTheme="minorEastAsia" w:hAnsiTheme="minorEastAsia" w:eastAsiaTheme="minorEastAsia"/>
          <w:color w:val="auto"/>
          <w:spacing w:val="6"/>
          <w:sz w:val="24"/>
          <w:highlight w:val="none"/>
          <w:lang w:eastAsia="zh-CN"/>
        </w:rPr>
        <w:t xml:space="preserve">万元，属于</w:t>
      </w:r>
      <w:r>
        <w:rPr>
          <w:rFonts w:hint="eastAsia" w:cs="Arial" w:asciiTheme="minorEastAsia" w:hAnsiTheme="minorEastAsia" w:eastAsiaTheme="minorEastAsia"/>
          <w:color w:val="auto"/>
          <w:spacing w:val="6"/>
          <w:sz w:val="24"/>
          <w:highlight w:val="none"/>
          <w:u w:val="single"/>
          <w:lang w:eastAsia="zh-CN"/>
        </w:rPr>
        <w:t xml:space="preserve">（中型企业、小型企业、微型企业）</w:t>
      </w:r>
      <w:r>
        <w:rPr>
          <w:rFonts w:hint="eastAsia" w:cs="Arial" w:asciiTheme="minorEastAsia" w:hAnsiTheme="minorEastAsia" w:eastAsiaTheme="minorEastAsia"/>
          <w:color w:val="auto"/>
          <w:spacing w:val="6"/>
          <w:sz w:val="24"/>
          <w:highlight w:val="none"/>
          <w:lang w:eastAsia="zh-CN"/>
        </w:rPr>
        <w:t xml:space="preserve">；</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  ……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以上企业，不属于大企业的分支机构，不存在控股股东为大企业的情形，也不存在与大企业的负责人为同一人的情形。</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本企业对上述声明内容的真实性负责。如有虚假，将依法承担相应责任。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企业名称（盖章）：  </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日 期：</w:t>
      </w:r>
      <w:r/>
    </w:p>
    <w:p>
      <w:pPr>
        <w:pStyle w:val="766"/>
        <w:ind w:firstLine="584"/>
        <w:jc w:val="left"/>
        <w:rPr>
          <w:rFonts w:cs="Arial" w:asciiTheme="minorEastAsia" w:hAnsiTheme="minorEastAsia" w:eastAsiaTheme="minorEastAsia"/>
          <w:color w:val="auto"/>
          <w:spacing w:val="6"/>
          <w:sz w:val="24"/>
          <w:highlight w:val="none"/>
          <w:lang w:eastAsia="zh-CN"/>
        </w:rPr>
      </w:pPr>
      <w:r>
        <w:rPr>
          <w:rFonts w:cs="Arial" w:asciiTheme="minorEastAsia" w:hAnsiTheme="minorEastAsia" w:eastAsiaTheme="minorEastAsia"/>
          <w:color w:val="auto"/>
          <w:spacing w:val="6"/>
          <w:sz w:val="24"/>
          <w:highlight w:val="none"/>
          <w:lang w:eastAsia="zh-CN"/>
        </w:rPr>
      </w:r>
      <w:r/>
    </w:p>
    <w:p>
      <w:pPr>
        <w:pStyle w:val="766"/>
        <w:ind w:firstLine="584"/>
        <w:jc w:val="left"/>
        <w:rPr>
          <w:rFonts w:cs="Arial" w:asciiTheme="minorEastAsia" w:hAnsiTheme="minorEastAsia" w:eastAsiaTheme="minorEastAsia"/>
          <w:color w:val="auto"/>
          <w:spacing w:val="6"/>
          <w:sz w:val="24"/>
          <w:highlight w:val="none"/>
          <w:lang w:eastAsia="zh-CN"/>
        </w:rPr>
      </w:pPr>
      <w:r>
        <w:rPr>
          <w:rFonts w:cs="Arial" w:asciiTheme="minorEastAsia" w:hAnsiTheme="minorEastAsia" w:eastAsiaTheme="minorEastAsia"/>
          <w:color w:val="auto"/>
          <w:spacing w:val="6"/>
          <w:sz w:val="24"/>
          <w:highlight w:val="none"/>
          <w:lang w:eastAsia="zh-CN"/>
        </w:rPr>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注：</w:t>
      </w:r>
      <w:bookmarkStart w:id="253" w:name="_Hlk136448448"/>
      <w:r>
        <w:rPr>
          <w:rFonts w:hint="eastAsia" w:cs="Arial" w:asciiTheme="minorEastAsia" w:hAnsiTheme="minorEastAsia" w:eastAsiaTheme="minorEastAsia"/>
          <w:color w:val="auto"/>
          <w:spacing w:val="6"/>
          <w:sz w:val="24"/>
          <w:highlight w:val="none"/>
          <w:lang w:eastAsia="zh-CN"/>
        </w:rPr>
        <w:t xml:space="preserve">1</w:t>
      </w:r>
      <w:r>
        <w:rPr>
          <w:rFonts w:cs="Arial" w:asciiTheme="minorEastAsia" w:hAnsiTheme="minorEastAsia" w:eastAsiaTheme="minorEastAsia"/>
          <w:color w:val="auto"/>
          <w:spacing w:val="6"/>
          <w:sz w:val="24"/>
          <w:highlight w:val="none"/>
          <w:lang w:eastAsia="zh-CN"/>
        </w:rPr>
        <w:t xml:space="preserve">.从业人员、营业收入、资产总额填报上一年度数据，无上一年度数据的新成立企业可不填报。</w:t>
      </w:r>
      <w:bookmarkEnd w:id="253"/>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rPr>
          <w:rFonts w:hint="eastAsia" w:cs="Arial" w:asciiTheme="minorEastAsia" w:hAnsiTheme="minorEastAsia" w:eastAsiaTheme="minorEastAsia"/>
          <w:color w:val="auto"/>
          <w:spacing w:val="6"/>
          <w:sz w:val="24"/>
          <w:highlight w:val="none"/>
          <w:lang w:eastAsia="zh-CN"/>
        </w:rPr>
        <w:t xml:space="preserve">2</w:t>
      </w:r>
      <w:r>
        <w:rPr>
          <w:rFonts w:cs="Arial" w:asciiTheme="minorEastAsia" w:hAnsiTheme="minorEastAsia" w:eastAsiaTheme="minorEastAsia"/>
          <w:color w:val="auto"/>
          <w:spacing w:val="6"/>
          <w:sz w:val="24"/>
          <w:highlight w:val="none"/>
          <w:lang w:eastAsia="zh-CN"/>
        </w:rPr>
        <w:t xml:space="preserve">.</w:t>
      </w:r>
      <w:r>
        <w:rPr>
          <w:rFonts w:hint="eastAsia" w:cs="Arial" w:asciiTheme="minorEastAsia" w:hAnsiTheme="minorEastAsia" w:eastAsiaTheme="minorEastAsia"/>
          <w:color w:val="auto"/>
          <w:spacing w:val="6"/>
          <w:sz w:val="24"/>
          <w:highlight w:val="none"/>
          <w:lang w:eastAsia="zh-CN"/>
        </w:rPr>
        <w:t xml:space="preserve">本声明函中“属于（中型企业、小型企业、微型企业）”的内容，必须且只能选择其中之一填写。</w:t>
      </w:r>
      <w:r/>
    </w:p>
    <w:p>
      <w:pPr>
        <w:pStyle w:val="766"/>
        <w:ind w:firstLine="584"/>
        <w:jc w:val="left"/>
        <w:spacing w:line="560" w:lineRule="exact"/>
        <w:rPr>
          <w:rFonts w:cs="Arial" w:asciiTheme="minorEastAsia" w:hAnsiTheme="minorEastAsia" w:eastAsiaTheme="minorEastAsia"/>
          <w:color w:val="auto"/>
          <w:spacing w:val="6"/>
          <w:sz w:val="24"/>
          <w:highlight w:val="none"/>
          <w:lang w:eastAsia="zh-CN"/>
        </w:rPr>
      </w:pPr>
      <w:r/>
      <w:bookmarkStart w:id="254" w:name="_Hlk136448662"/>
      <w:r>
        <w:rPr>
          <w:rFonts w:cs="Arial" w:asciiTheme="minorEastAsia" w:hAnsiTheme="minorEastAsia" w:eastAsiaTheme="minorEastAsia"/>
          <w:color w:val="auto"/>
          <w:spacing w:val="6"/>
          <w:sz w:val="24"/>
          <w:highlight w:val="none"/>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54"/>
      <w:r/>
      <w:r/>
    </w:p>
    <w:p>
      <w:pPr>
        <w:pStyle w:val="756"/>
        <w:keepLines w:val="0"/>
        <w:keepNext w:val="0"/>
        <w:spacing w:before="0" w:after="0" w:line="360" w:lineRule="auto"/>
        <w:rPr>
          <w:rFonts w:asciiTheme="minorEastAsia" w:hAnsiTheme="minorEastAsia" w:eastAsiaTheme="minorEastAsia"/>
          <w:color w:val="auto"/>
          <w:szCs w:val="32"/>
          <w:highlight w:val="none"/>
          <w:lang w:eastAsia="zh-CN"/>
        </w:rPr>
      </w:pPr>
      <w:r>
        <w:rPr>
          <w:rFonts w:asciiTheme="minorEastAsia" w:hAnsiTheme="minorEastAsia" w:eastAsiaTheme="minorEastAsia"/>
          <w:color w:val="auto"/>
          <w:szCs w:val="32"/>
          <w:highlight w:val="none"/>
          <w:lang w:eastAsia="zh-CN"/>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left="2111"/>
        <w:spacing w:before="313" w:line="226" w:lineRule="auto"/>
        <w:rPr>
          <w:rFonts w:cs="宋体" w:asciiTheme="minorEastAsia" w:hAnsiTheme="minorEastAsia" w:eastAsiaTheme="minorEastAsia"/>
          <w:color w:val="auto"/>
          <w:sz w:val="29"/>
          <w:szCs w:val="29"/>
          <w:highlight w:val="none"/>
        </w:rPr>
      </w:pPr>
      <w:r>
        <w:rPr>
          <w:rFonts w:cs="宋体" w:asciiTheme="minorEastAsia" w:hAnsiTheme="minorEastAsia" w:eastAsiaTheme="minorEastAsia"/>
          <w:color w:val="auto"/>
          <w:spacing w:val="18"/>
          <w:sz w:val="29"/>
          <w:szCs w:val="29"/>
          <w:highlight w:val="none"/>
        </w:rPr>
        <w:t xml:space="preserve">《</w:t>
      </w:r>
      <w:r>
        <w:rPr>
          <w:rFonts w:cs="宋体" w:asciiTheme="minorEastAsia" w:hAnsiTheme="minorEastAsia" w:eastAsiaTheme="minorEastAsia"/>
          <w:color w:val="auto"/>
          <w:spacing w:val="9"/>
          <w:sz w:val="29"/>
          <w:szCs w:val="29"/>
          <w:highlight w:val="none"/>
        </w:rPr>
        <w:t xml:space="preserve">中小企业声明函》填写说明</w:t>
      </w:r>
      <w:r/>
    </w:p>
    <w:p>
      <w:pPr>
        <w:ind w:right="70" w:firstLine="16"/>
        <w:spacing w:before="186" w:line="309"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2"/>
          <w:sz w:val="24"/>
          <w:highlight w:val="none"/>
        </w:rPr>
        <w:t xml:space="preserve">1</w:t>
      </w:r>
      <w:r>
        <w:rPr>
          <w:rFonts w:cs="宋体" w:asciiTheme="minorEastAsia" w:hAnsiTheme="minorEastAsia" w:eastAsiaTheme="minorEastAsia"/>
          <w:color w:val="auto"/>
          <w:spacing w:val="7"/>
          <w:sz w:val="24"/>
          <w:highlight w:val="none"/>
        </w:rPr>
        <w:t xml:space="preserve">、</w:t>
      </w:r>
      <w:r>
        <w:rPr>
          <w:rFonts w:cs="宋体" w:asciiTheme="minorEastAsia" w:hAnsiTheme="minorEastAsia" w:eastAsiaTheme="minorEastAsia"/>
          <w:color w:val="auto"/>
          <w:spacing w:val="6"/>
          <w:sz w:val="24"/>
          <w:highlight w:val="none"/>
        </w:rPr>
        <w:t xml:space="preserve">请各投标供应商按照本项目类别 (详见</w:t>
      </w:r>
      <w:r>
        <w:rPr>
          <w:rFonts w:hint="eastAsia" w:cs="宋体" w:asciiTheme="minorEastAsia" w:hAnsiTheme="minorEastAsia" w:eastAsiaTheme="minorEastAsia"/>
          <w:color w:val="auto"/>
          <w:spacing w:val="6"/>
          <w:sz w:val="24"/>
          <w:highlight w:val="none"/>
        </w:rPr>
        <w:t xml:space="preserve">采购</w:t>
      </w:r>
      <w:r>
        <w:rPr>
          <w:rFonts w:cs="宋体" w:asciiTheme="minorEastAsia" w:hAnsiTheme="minorEastAsia" w:eastAsiaTheme="minorEastAsia"/>
          <w:color w:val="auto"/>
          <w:spacing w:val="6"/>
          <w:sz w:val="24"/>
          <w:highlight w:val="none"/>
        </w:rPr>
        <w:t xml:space="preserve">需求) 选择对应的《中小企业</w:t>
      </w:r>
      <w:r>
        <w:rPr>
          <w:rFonts w:cs="宋体" w:asciiTheme="minorEastAsia" w:hAnsiTheme="minorEastAsia" w:eastAsiaTheme="minorEastAsia"/>
          <w:color w:val="auto"/>
          <w:spacing w:val="18"/>
          <w:sz w:val="24"/>
          <w:highlight w:val="none"/>
        </w:rPr>
        <w:t xml:space="preserve">声明函</w:t>
      </w:r>
      <w:r>
        <w:rPr>
          <w:rFonts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9"/>
          <w:sz w:val="24"/>
          <w:highlight w:val="none"/>
        </w:rPr>
        <w:t xml:space="preserve">进行填写，例如本项目属于货物类，则只需将本项提供的全部货物填写在《中小企</w:t>
      </w:r>
      <w:r>
        <w:rPr>
          <w:rFonts w:cs="宋体" w:asciiTheme="minorEastAsia" w:hAnsiTheme="minorEastAsia" w:eastAsiaTheme="minorEastAsia"/>
          <w:color w:val="auto"/>
          <w:spacing w:val="-4"/>
          <w:sz w:val="24"/>
          <w:highlight w:val="none"/>
        </w:rPr>
        <w:t xml:space="preserve">业声明函</w:t>
      </w:r>
      <w:r>
        <w:rPr>
          <w:rFonts w:cs="宋体" w:asciiTheme="minorEastAsia" w:hAnsiTheme="minorEastAsia" w:eastAsiaTheme="minorEastAsia"/>
          <w:color w:val="auto"/>
          <w:spacing w:val="-2"/>
          <w:sz w:val="24"/>
          <w:highlight w:val="none"/>
        </w:rPr>
        <w:t xml:space="preserve">》(货物)即可</w:t>
      </w:r>
      <w:r>
        <w:rPr>
          <w:rFonts w:hint="eastAsia" w:cs="宋体" w:asciiTheme="minorEastAsia" w:hAnsiTheme="minorEastAsia" w:eastAsiaTheme="minorEastAsia"/>
          <w:color w:val="auto"/>
          <w:spacing w:val="-2"/>
          <w:sz w:val="24"/>
          <w:highlight w:val="none"/>
        </w:rPr>
        <w:t xml:space="preserve">，</w:t>
      </w:r>
      <w:r>
        <w:rPr>
          <w:rFonts w:cs="宋体" w:asciiTheme="minorEastAsia" w:hAnsiTheme="minorEastAsia" w:eastAsiaTheme="minorEastAsia"/>
          <w:color w:val="auto"/>
          <w:spacing w:val="-2"/>
          <w:sz w:val="24"/>
          <w:highlight w:val="none"/>
        </w:rPr>
        <w:t xml:space="preserve">以此类推。</w:t>
      </w:r>
      <w:r/>
    </w:p>
    <w:p>
      <w:pPr>
        <w:ind w:left="4"/>
        <w:spacing w:before="135" w:line="228"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2"/>
          <w:sz w:val="24"/>
          <w:highlight w:val="none"/>
        </w:rPr>
        <w:t xml:space="preserve">2、</w:t>
      </w:r>
      <w:r>
        <w:rPr>
          <w:rFonts w:cs="宋体" w:asciiTheme="minorEastAsia" w:hAnsiTheme="minorEastAsia" w:eastAsiaTheme="minorEastAsia"/>
          <w:color w:val="auto"/>
          <w:spacing w:val="11"/>
          <w:sz w:val="24"/>
          <w:highlight w:val="none"/>
        </w:rPr>
        <w:t xml:space="preserve">采</w:t>
      </w:r>
      <w:r>
        <w:rPr>
          <w:rFonts w:cs="宋体" w:asciiTheme="minorEastAsia" w:hAnsiTheme="minorEastAsia" w:eastAsiaTheme="minorEastAsia"/>
          <w:color w:val="auto"/>
          <w:spacing w:val="6"/>
          <w:sz w:val="24"/>
          <w:highlight w:val="none"/>
        </w:rPr>
        <w:t xml:space="preserve">购标的对应的中小企业划分标准所属行业，以</w:t>
      </w:r>
      <w:r>
        <w:rPr>
          <w:rFonts w:hint="eastAsia" w:cs="宋体" w:asciiTheme="minorEastAsia" w:hAnsiTheme="minorEastAsia" w:eastAsiaTheme="minorEastAsia"/>
          <w:color w:val="auto"/>
          <w:spacing w:val="6"/>
          <w:sz w:val="24"/>
          <w:highlight w:val="none"/>
        </w:rPr>
        <w:t xml:space="preserve">采购</w:t>
      </w:r>
      <w:r>
        <w:rPr>
          <w:rFonts w:cs="宋体" w:asciiTheme="minorEastAsia" w:hAnsiTheme="minorEastAsia" w:eastAsiaTheme="minorEastAsia"/>
          <w:color w:val="auto"/>
          <w:spacing w:val="6"/>
          <w:sz w:val="24"/>
          <w:highlight w:val="none"/>
        </w:rPr>
        <w:t xml:space="preserve">需求中的项目所属行业为准。</w:t>
      </w:r>
      <w:r/>
    </w:p>
    <w:p>
      <w:pPr>
        <w:ind w:right="18" w:firstLine="5"/>
        <w:spacing w:before="132" w:line="328"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3、</w:t>
      </w:r>
      <w:r>
        <w:rPr>
          <w:rFonts w:cs="宋体" w:asciiTheme="minorEastAsia" w:hAnsiTheme="minorEastAsia" w:eastAsiaTheme="minorEastAsia"/>
          <w:color w:val="auto"/>
          <w:spacing w:val="10"/>
          <w:sz w:val="24"/>
          <w:highlight w:val="none"/>
        </w:rPr>
        <w:t xml:space="preserve">本</w:t>
      </w:r>
      <w:r>
        <w:rPr>
          <w:rFonts w:cs="宋体" w:asciiTheme="minorEastAsia" w:hAnsiTheme="minorEastAsia" w:eastAsiaTheme="minorEastAsia"/>
          <w:color w:val="auto"/>
          <w:spacing w:val="9"/>
          <w:sz w:val="24"/>
          <w:highlight w:val="none"/>
        </w:rPr>
        <w:t xml:space="preserve">办法所称中小企业，是指在中华人民共和国境内依法设立，依据国务院批准的中小企业</w:t>
      </w:r>
      <w:r>
        <w:rPr>
          <w:rFonts w:cs="宋体" w:asciiTheme="minorEastAsia" w:hAnsiTheme="minorEastAsia" w:eastAsiaTheme="minorEastAsia"/>
          <w:color w:val="auto"/>
          <w:spacing w:val="18"/>
          <w:sz w:val="24"/>
          <w:highlight w:val="none"/>
        </w:rPr>
        <w:t xml:space="preserve">划分标</w:t>
      </w:r>
      <w:r>
        <w:rPr>
          <w:rFonts w:cs="宋体" w:asciiTheme="minorEastAsia" w:hAnsiTheme="minorEastAsia" w:eastAsiaTheme="minorEastAsia"/>
          <w:color w:val="auto"/>
          <w:spacing w:val="12"/>
          <w:sz w:val="24"/>
          <w:highlight w:val="none"/>
        </w:rPr>
        <w:t xml:space="preserve">准</w:t>
      </w:r>
      <w:r>
        <w:rPr>
          <w:rFonts w:cs="宋体" w:asciiTheme="minorEastAsia" w:hAnsiTheme="minorEastAsia" w:eastAsiaTheme="minorEastAsia"/>
          <w:color w:val="auto"/>
          <w:spacing w:val="9"/>
          <w:sz w:val="24"/>
          <w:highlight w:val="none"/>
        </w:rPr>
        <w:t xml:space="preserve">确定的中型企业、小型企业和微型企业，但与大企业的负责人为同一人，或者与大</w:t>
      </w:r>
      <w:r>
        <w:rPr>
          <w:rFonts w:cs="宋体" w:asciiTheme="minorEastAsia" w:hAnsiTheme="minorEastAsia" w:eastAsiaTheme="minorEastAsia"/>
          <w:color w:val="auto"/>
          <w:spacing w:val="16"/>
          <w:sz w:val="24"/>
          <w:highlight w:val="none"/>
        </w:rPr>
        <w:t xml:space="preserve">企业</w:t>
      </w:r>
      <w:r>
        <w:rPr>
          <w:rFonts w:cs="宋体" w:asciiTheme="minorEastAsia" w:hAnsiTheme="minorEastAsia" w:eastAsiaTheme="minorEastAsia"/>
          <w:color w:val="auto"/>
          <w:spacing w:val="9"/>
          <w:sz w:val="24"/>
          <w:highlight w:val="none"/>
        </w:rPr>
        <w:t xml:space="preserve">存</w:t>
      </w:r>
      <w:r>
        <w:rPr>
          <w:rFonts w:cs="宋体" w:asciiTheme="minorEastAsia" w:hAnsiTheme="minorEastAsia" w:eastAsiaTheme="minorEastAsia"/>
          <w:color w:val="auto"/>
          <w:spacing w:val="8"/>
          <w:sz w:val="24"/>
          <w:highlight w:val="none"/>
        </w:rPr>
        <w:t xml:space="preserve">在直接控股、管理关系的除外。符合中小企业划分标准的个体工商户，视同中小企业；</w:t>
      </w:r>
      <w:r>
        <w:rPr>
          <w:rFonts w:cs="宋体" w:asciiTheme="minorEastAsia" w:hAnsiTheme="minorEastAsia" w:eastAsiaTheme="minorEastAsia"/>
          <w:color w:val="auto"/>
          <w:spacing w:val="18"/>
          <w:sz w:val="24"/>
          <w:highlight w:val="none"/>
        </w:rPr>
        <w:t xml:space="preserve">事业单</w:t>
      </w:r>
      <w:r>
        <w:rPr>
          <w:rFonts w:cs="宋体" w:asciiTheme="minorEastAsia" w:hAnsiTheme="minorEastAsia" w:eastAsiaTheme="minorEastAsia"/>
          <w:color w:val="auto"/>
          <w:spacing w:val="12"/>
          <w:sz w:val="24"/>
          <w:highlight w:val="none"/>
        </w:rPr>
        <w:t xml:space="preserve">位</w:t>
      </w:r>
      <w:r>
        <w:rPr>
          <w:rFonts w:cs="宋体" w:asciiTheme="minorEastAsia" w:hAnsiTheme="minorEastAsia" w:eastAsiaTheme="minorEastAsia"/>
          <w:color w:val="auto"/>
          <w:spacing w:val="9"/>
          <w:sz w:val="24"/>
          <w:highlight w:val="none"/>
        </w:rPr>
        <w:t xml:space="preserve">、团体组织等非企业性质的政府采购供应商，不属于中小企业划型标准确定的中小</w:t>
      </w:r>
      <w:r>
        <w:rPr>
          <w:rFonts w:cs="宋体" w:asciiTheme="minorEastAsia" w:hAnsiTheme="minorEastAsia" w:eastAsiaTheme="minorEastAsia"/>
          <w:color w:val="auto"/>
          <w:spacing w:val="4"/>
          <w:sz w:val="24"/>
          <w:highlight w:val="none"/>
        </w:rPr>
        <w:t xml:space="preserve">企</w:t>
      </w:r>
      <w:r>
        <w:rPr>
          <w:rFonts w:cs="宋体" w:asciiTheme="minorEastAsia" w:hAnsiTheme="minorEastAsia" w:eastAsiaTheme="minorEastAsia"/>
          <w:color w:val="auto"/>
          <w:spacing w:val="3"/>
          <w:sz w:val="24"/>
          <w:highlight w:val="none"/>
        </w:rPr>
        <w:t xml:space="preserve">业。</w:t>
      </w:r>
      <w:r/>
    </w:p>
    <w:p>
      <w:pPr>
        <w:ind w:right="70"/>
        <w:spacing w:before="123" w:line="289"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4、</w:t>
      </w:r>
      <w:r>
        <w:rPr>
          <w:rFonts w:cs="宋体" w:asciiTheme="minorEastAsia" w:hAnsiTheme="minorEastAsia" w:eastAsiaTheme="minorEastAsia"/>
          <w:color w:val="auto"/>
          <w:spacing w:val="15"/>
          <w:sz w:val="24"/>
          <w:highlight w:val="none"/>
        </w:rPr>
        <w:t xml:space="preserve">从</w:t>
      </w:r>
      <w:r>
        <w:rPr>
          <w:rFonts w:cs="宋体" w:asciiTheme="minorEastAsia" w:hAnsiTheme="minorEastAsia" w:eastAsiaTheme="minorEastAsia"/>
          <w:color w:val="auto"/>
          <w:spacing w:val="9"/>
          <w:sz w:val="24"/>
          <w:highlight w:val="none"/>
        </w:rPr>
        <w:t xml:space="preserve">业人员、营业收入、资产总额填报上一年度数据，无上一年度数据的新成立企业可不填</w:t>
      </w:r>
      <w:r>
        <w:rPr>
          <w:rFonts w:cs="宋体" w:asciiTheme="minorEastAsia" w:hAnsiTheme="minorEastAsia" w:eastAsiaTheme="minorEastAsia"/>
          <w:color w:val="auto"/>
          <w:spacing w:val="1"/>
          <w:sz w:val="24"/>
          <w:highlight w:val="none"/>
        </w:rPr>
        <w:t xml:space="preserve">报。</w:t>
      </w:r>
      <w:r/>
    </w:p>
    <w:p>
      <w:pPr>
        <w:ind w:left="14" w:right="70" w:hanging="9"/>
        <w:spacing w:before="132" w:line="291"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5、</w:t>
      </w:r>
      <w:r>
        <w:rPr>
          <w:rFonts w:cs="宋体" w:asciiTheme="minorEastAsia" w:hAnsiTheme="minorEastAsia" w:eastAsiaTheme="minorEastAsia"/>
          <w:color w:val="auto"/>
          <w:spacing w:val="10"/>
          <w:sz w:val="24"/>
          <w:highlight w:val="none"/>
        </w:rPr>
        <w:t xml:space="preserve">投</w:t>
      </w:r>
      <w:r>
        <w:rPr>
          <w:rFonts w:cs="宋体" w:asciiTheme="minorEastAsia" w:hAnsiTheme="minorEastAsia" w:eastAsiaTheme="minorEastAsia"/>
          <w:color w:val="auto"/>
          <w:spacing w:val="9"/>
          <w:sz w:val="24"/>
          <w:highlight w:val="none"/>
        </w:rPr>
        <w:t xml:space="preserve">标供应商未按照上述格式正确填写《中小企业声明函》的，视为未提供《中小企业声明</w:t>
      </w:r>
      <w:r>
        <w:rPr>
          <w:rFonts w:cs="宋体" w:asciiTheme="minorEastAsia" w:hAnsiTheme="minorEastAsia" w:eastAsiaTheme="minorEastAsia"/>
          <w:color w:val="auto"/>
          <w:spacing w:val="14"/>
          <w:sz w:val="24"/>
          <w:highlight w:val="none"/>
        </w:rPr>
        <w:t xml:space="preserve">函</w:t>
      </w:r>
      <w:r>
        <w:rPr>
          <w:rFonts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7"/>
          <w:sz w:val="24"/>
          <w:highlight w:val="none"/>
        </w:rPr>
        <w:t xml:space="preserve">，不享受中小企业扶持政策。</w:t>
      </w:r>
      <w:r/>
    </w:p>
    <w:p>
      <w:pPr>
        <w:ind w:left="21"/>
        <w:spacing w:before="66" w:line="228" w:lineRule="auto"/>
        <w:widowControl/>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pacing w:val="7"/>
          <w:sz w:val="24"/>
          <w:highlight w:val="none"/>
        </w:rPr>
        <w:t xml:space="preserve">《</w:t>
      </w:r>
      <w:r>
        <w:rPr>
          <w:rFonts w:cs="宋体" w:asciiTheme="minorEastAsia" w:hAnsiTheme="minorEastAsia" w:eastAsiaTheme="minorEastAsia"/>
          <w:b/>
          <w:color w:val="auto"/>
          <w:spacing w:val="7"/>
          <w:sz w:val="24"/>
          <w:highlight w:val="none"/>
        </w:rPr>
        <w:t xml:space="preserve">中小企业划型标准规</w:t>
      </w:r>
      <w:r>
        <w:rPr>
          <w:rFonts w:cs="宋体" w:asciiTheme="minorEastAsia" w:hAnsiTheme="minorEastAsia" w:eastAsiaTheme="minorEastAsia"/>
          <w:b/>
          <w:color w:val="auto"/>
          <w:spacing w:val="6"/>
          <w:sz w:val="24"/>
          <w:highlight w:val="none"/>
        </w:rPr>
        <w:t xml:space="preserve">定</w:t>
      </w:r>
      <w:r>
        <w:rPr>
          <w:rFonts w:hint="eastAsia" w:cs="宋体" w:asciiTheme="minorEastAsia" w:hAnsiTheme="minorEastAsia" w:eastAsiaTheme="minorEastAsia"/>
          <w:b/>
          <w:color w:val="auto"/>
          <w:spacing w:val="6"/>
          <w:sz w:val="24"/>
          <w:highlight w:val="none"/>
        </w:rPr>
        <w:t xml:space="preserve">》</w:t>
      </w:r>
      <w:r/>
    </w:p>
    <w:p>
      <w:pPr>
        <w:ind w:right="174" w:firstLine="4"/>
        <w:spacing w:before="135" w:line="288"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一、</w:t>
      </w:r>
      <w:r>
        <w:rPr>
          <w:rFonts w:cs="宋体" w:asciiTheme="minorEastAsia" w:hAnsiTheme="minorEastAsia" w:eastAsiaTheme="minorEastAsia"/>
          <w:color w:val="auto"/>
          <w:spacing w:val="17"/>
          <w:sz w:val="24"/>
          <w:highlight w:val="none"/>
        </w:rPr>
        <w:t xml:space="preserve">根</w:t>
      </w:r>
      <w:r>
        <w:rPr>
          <w:rFonts w:cs="宋体" w:asciiTheme="minorEastAsia" w:hAnsiTheme="minorEastAsia" w:eastAsiaTheme="minorEastAsia"/>
          <w:color w:val="auto"/>
          <w:spacing w:val="9"/>
          <w:sz w:val="24"/>
          <w:highlight w:val="none"/>
        </w:rPr>
        <w:t xml:space="preserve">据《中华人民共和国中小企业促进法》和《国务院关于进一步促进中小企业发展的若</w:t>
      </w:r>
      <w:r>
        <w:rPr>
          <w:rFonts w:cs="宋体" w:asciiTheme="minorEastAsia" w:hAnsiTheme="minorEastAsia" w:eastAsiaTheme="minorEastAsia"/>
          <w:color w:val="auto"/>
          <w:spacing w:val="2"/>
          <w:sz w:val="24"/>
          <w:highlight w:val="none"/>
        </w:rPr>
        <w:t xml:space="preserve">干意见》(国发〔20</w:t>
      </w:r>
      <w:r>
        <w:rPr>
          <w:rFonts w:cs="宋体" w:asciiTheme="minorEastAsia" w:hAnsiTheme="minorEastAsia" w:eastAsiaTheme="minorEastAsia"/>
          <w:color w:val="auto"/>
          <w:spacing w:val="1"/>
          <w:sz w:val="24"/>
          <w:highlight w:val="none"/>
        </w:rPr>
        <w:t xml:space="preserve">09〕36号)，制定本规定。</w:t>
      </w:r>
      <w:r/>
    </w:p>
    <w:p>
      <w:pPr>
        <w:ind w:left="10" w:right="209" w:hanging="5"/>
        <w:spacing w:before="133" w:line="290"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6"/>
          <w:sz w:val="24"/>
          <w:highlight w:val="none"/>
        </w:rPr>
        <w:t xml:space="preserve">二、中</w:t>
      </w:r>
      <w:r>
        <w:rPr>
          <w:rFonts w:cs="宋体" w:asciiTheme="minorEastAsia" w:hAnsiTheme="minorEastAsia" w:eastAsiaTheme="minorEastAsia"/>
          <w:color w:val="auto"/>
          <w:spacing w:val="15"/>
          <w:sz w:val="24"/>
          <w:highlight w:val="none"/>
        </w:rPr>
        <w:t xml:space="preserve">小</w:t>
      </w:r>
      <w:r>
        <w:rPr>
          <w:rFonts w:cs="宋体" w:asciiTheme="minorEastAsia" w:hAnsiTheme="minorEastAsia" w:eastAsiaTheme="minorEastAsia"/>
          <w:color w:val="auto"/>
          <w:spacing w:val="8"/>
          <w:sz w:val="24"/>
          <w:highlight w:val="none"/>
        </w:rPr>
        <w:t xml:space="preserve">企业划分为中型、小型、微型三种类型，具体标准根据企业从业人员、营业收入、</w:t>
      </w:r>
      <w:r>
        <w:rPr>
          <w:rFonts w:cs="宋体" w:asciiTheme="minorEastAsia" w:hAnsiTheme="minorEastAsia" w:eastAsiaTheme="minorEastAsia"/>
          <w:color w:val="auto"/>
          <w:spacing w:val="12"/>
          <w:sz w:val="24"/>
          <w:highlight w:val="none"/>
        </w:rPr>
        <w:t xml:space="preserve">资</w:t>
      </w:r>
      <w:r>
        <w:rPr>
          <w:rFonts w:cs="宋体" w:asciiTheme="minorEastAsia" w:hAnsiTheme="minorEastAsia" w:eastAsiaTheme="minorEastAsia"/>
          <w:color w:val="auto"/>
          <w:spacing w:val="8"/>
          <w:sz w:val="24"/>
          <w:highlight w:val="none"/>
        </w:rPr>
        <w:t xml:space="preserve">产总额等指标，结合行业特点制定。</w:t>
      </w:r>
      <w:r/>
    </w:p>
    <w:p>
      <w:pPr>
        <w:spacing w:before="136" w:line="330"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1"/>
          <w:sz w:val="24"/>
          <w:highlight w:val="none"/>
        </w:rPr>
        <w:t xml:space="preserve">三</w:t>
      </w:r>
      <w:r>
        <w:rPr>
          <w:rFonts w:cs="宋体" w:asciiTheme="minorEastAsia" w:hAnsiTheme="minorEastAsia" w:eastAsiaTheme="minorEastAsia"/>
          <w:color w:val="auto"/>
          <w:spacing w:val="6"/>
          <w:sz w:val="24"/>
          <w:highlight w:val="none"/>
        </w:rPr>
        <w:t xml:space="preserve">、本规定适用的行业包括：农、林、牧、渔业，工业 (包括采矿业，制造业，电力、热力、</w:t>
      </w:r>
      <w:r>
        <w:rPr>
          <w:rFonts w:cs="宋体" w:asciiTheme="minorEastAsia" w:hAnsiTheme="minorEastAsia" w:eastAsiaTheme="minorEastAsia"/>
          <w:color w:val="auto"/>
          <w:spacing w:val="12"/>
          <w:sz w:val="24"/>
          <w:highlight w:val="none"/>
        </w:rPr>
        <w:t xml:space="preserve">燃</w:t>
      </w:r>
      <w:r>
        <w:rPr>
          <w:rFonts w:cs="宋体" w:asciiTheme="minorEastAsia" w:hAnsiTheme="minorEastAsia" w:eastAsiaTheme="minorEastAsia"/>
          <w:color w:val="auto"/>
          <w:spacing w:val="9"/>
          <w:sz w:val="24"/>
          <w:highlight w:val="none"/>
        </w:rPr>
        <w:t xml:space="preserve">气及水生产和供应业)，建筑业，批发业，零售业，交通运输业(不含铁路运输业)，仓</w:t>
      </w:r>
      <w:r>
        <w:rPr>
          <w:rFonts w:cs="宋体" w:asciiTheme="minorEastAsia" w:hAnsiTheme="minorEastAsia" w:eastAsiaTheme="minorEastAsia"/>
          <w:color w:val="auto"/>
          <w:spacing w:val="18"/>
          <w:sz w:val="24"/>
          <w:highlight w:val="none"/>
        </w:rPr>
        <w:t xml:space="preserve">储</w:t>
      </w:r>
      <w:r>
        <w:rPr>
          <w:rFonts w:cs="宋体" w:asciiTheme="minorEastAsia" w:hAnsiTheme="minorEastAsia" w:eastAsiaTheme="minorEastAsia"/>
          <w:color w:val="auto"/>
          <w:spacing w:val="12"/>
          <w:sz w:val="24"/>
          <w:highlight w:val="none"/>
        </w:rPr>
        <w:t xml:space="preserve">业</w:t>
      </w:r>
      <w:r>
        <w:rPr>
          <w:rFonts w:cs="宋体" w:asciiTheme="minorEastAsia" w:hAnsiTheme="minorEastAsia" w:eastAsiaTheme="minorEastAsia"/>
          <w:color w:val="auto"/>
          <w:spacing w:val="9"/>
          <w:sz w:val="24"/>
          <w:highlight w:val="none"/>
        </w:rPr>
        <w:t xml:space="preserve">，邮政业，住宿业，餐饮业，信息传输业(包括电信、互联网和相关服务)，软件和信</w:t>
      </w:r>
      <w:r>
        <w:rPr>
          <w:rFonts w:cs="宋体" w:asciiTheme="minorEastAsia" w:hAnsiTheme="minorEastAsia" w:eastAsiaTheme="minorEastAsia"/>
          <w:color w:val="auto"/>
          <w:spacing w:val="18"/>
          <w:sz w:val="24"/>
          <w:highlight w:val="none"/>
        </w:rPr>
        <w:t xml:space="preserve">息技</w:t>
      </w:r>
      <w:r>
        <w:rPr>
          <w:rFonts w:cs="宋体" w:asciiTheme="minorEastAsia" w:hAnsiTheme="minorEastAsia" w:eastAsiaTheme="minorEastAsia"/>
          <w:color w:val="auto"/>
          <w:spacing w:val="12"/>
          <w:sz w:val="24"/>
          <w:highlight w:val="none"/>
        </w:rPr>
        <w:t xml:space="preserve">术</w:t>
      </w:r>
      <w:r>
        <w:rPr>
          <w:rFonts w:cs="宋体" w:asciiTheme="minorEastAsia" w:hAnsiTheme="minorEastAsia" w:eastAsiaTheme="minorEastAsia"/>
          <w:color w:val="auto"/>
          <w:spacing w:val="9"/>
          <w:sz w:val="24"/>
          <w:highlight w:val="none"/>
        </w:rPr>
        <w:t xml:space="preserve">服务业，房地产开发经营，物业管理，租赁和商务服务业，其他未列明行业 (包括科</w:t>
      </w:r>
      <w:r>
        <w:rPr>
          <w:rFonts w:cs="宋体" w:asciiTheme="minorEastAsia" w:hAnsiTheme="minorEastAsia" w:eastAsiaTheme="minorEastAsia"/>
          <w:color w:val="auto"/>
          <w:spacing w:val="18"/>
          <w:sz w:val="24"/>
          <w:highlight w:val="none"/>
        </w:rPr>
        <w:t xml:space="preserve">学研究</w:t>
      </w:r>
      <w:r>
        <w:rPr>
          <w:rFonts w:cs="宋体" w:asciiTheme="minorEastAsia" w:hAnsiTheme="minorEastAsia" w:eastAsiaTheme="minorEastAsia"/>
          <w:color w:val="auto"/>
          <w:spacing w:val="12"/>
          <w:sz w:val="24"/>
          <w:highlight w:val="none"/>
        </w:rPr>
        <w:t xml:space="preserve">和</w:t>
      </w:r>
      <w:r>
        <w:rPr>
          <w:rFonts w:cs="宋体" w:asciiTheme="minorEastAsia" w:hAnsiTheme="minorEastAsia" w:eastAsiaTheme="minorEastAsia"/>
          <w:color w:val="auto"/>
          <w:spacing w:val="9"/>
          <w:sz w:val="24"/>
          <w:highlight w:val="none"/>
        </w:rPr>
        <w:t xml:space="preserve">技术服务业，水利、环境和公共设施管理业，居民服务、修理和其他服务业，社会</w:t>
      </w:r>
      <w:r>
        <w:rPr>
          <w:rFonts w:cs="宋体" w:asciiTheme="minorEastAsia" w:hAnsiTheme="minorEastAsia" w:eastAsiaTheme="minorEastAsia"/>
          <w:color w:val="auto"/>
          <w:spacing w:val="13"/>
          <w:sz w:val="24"/>
          <w:highlight w:val="none"/>
        </w:rPr>
        <w:t xml:space="preserve">工</w:t>
      </w:r>
      <w:r>
        <w:rPr>
          <w:rFonts w:cs="宋体" w:asciiTheme="minorEastAsia" w:hAnsiTheme="minorEastAsia" w:eastAsiaTheme="minorEastAsia"/>
          <w:color w:val="auto"/>
          <w:spacing w:val="8"/>
          <w:sz w:val="24"/>
          <w:highlight w:val="none"/>
        </w:rPr>
        <w:t xml:space="preserve">作，文化、体育和娱乐业等)。</w:t>
      </w:r>
      <w:r/>
    </w:p>
    <w:p>
      <w:pPr>
        <w:ind w:left="21"/>
        <w:spacing w:before="132" w:line="231"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9"/>
          <w:sz w:val="24"/>
          <w:highlight w:val="none"/>
        </w:rPr>
        <w:t xml:space="preserve">四</w:t>
      </w:r>
      <w:r>
        <w:rPr>
          <w:rFonts w:cs="宋体" w:asciiTheme="minorEastAsia" w:hAnsiTheme="minorEastAsia" w:eastAsiaTheme="minorEastAsia"/>
          <w:color w:val="auto"/>
          <w:spacing w:val="6"/>
          <w:sz w:val="24"/>
          <w:highlight w:val="none"/>
        </w:rPr>
        <w:t xml:space="preserve">、各行业划型标准为：</w:t>
      </w:r>
      <w:r/>
    </w:p>
    <w:p>
      <w:pPr>
        <w:ind w:left="4" w:right="69" w:firstLine="7"/>
        <w:spacing w:before="129" w:line="31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一</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农、林、牧、渔</w:t>
      </w:r>
      <w:r>
        <w:rPr>
          <w:rFonts w:cs="宋体" w:asciiTheme="minorEastAsia" w:hAnsiTheme="minorEastAsia" w:eastAsiaTheme="minorEastAsia"/>
          <w:color w:val="auto"/>
          <w:spacing w:val="3"/>
          <w:sz w:val="24"/>
          <w:highlight w:val="none"/>
        </w:rPr>
        <w:t xml:space="preserve">业。营业收入20000万元以下的为中小微型企业。其中，营业收入500</w:t>
      </w:r>
      <w:r>
        <w:rPr>
          <w:rFonts w:cs="宋体" w:asciiTheme="minorEastAsia" w:hAnsiTheme="minorEastAsia" w:eastAsiaTheme="minorEastAsia"/>
          <w:color w:val="auto"/>
          <w:spacing w:val="8"/>
          <w:sz w:val="24"/>
          <w:highlight w:val="none"/>
        </w:rPr>
        <w:t xml:space="preserve">万</w:t>
      </w:r>
      <w:r>
        <w:rPr>
          <w:rFonts w:cs="宋体" w:asciiTheme="minorEastAsia" w:hAnsiTheme="minorEastAsia" w:eastAsiaTheme="minorEastAsia"/>
          <w:color w:val="auto"/>
          <w:spacing w:val="7"/>
          <w:sz w:val="24"/>
          <w:highlight w:val="none"/>
        </w:rPr>
        <w:t xml:space="preserve">元</w:t>
      </w:r>
      <w:r>
        <w:rPr>
          <w:rFonts w:cs="宋体" w:asciiTheme="minorEastAsia" w:hAnsiTheme="minorEastAsia" w:eastAsiaTheme="minorEastAsia"/>
          <w:color w:val="auto"/>
          <w:spacing w:val="4"/>
          <w:sz w:val="24"/>
          <w:highlight w:val="none"/>
        </w:rPr>
        <w:t xml:space="preserve">及以上的为中型企业，营业收入50万元及以上的为小型企业，营业收入50万元以下的</w:t>
      </w:r>
      <w:r>
        <w:rPr>
          <w:rFonts w:cs="宋体" w:asciiTheme="minorEastAsia" w:hAnsiTheme="minorEastAsia" w:eastAsiaTheme="minorEastAsia"/>
          <w:color w:val="auto"/>
          <w:spacing w:val="8"/>
          <w:sz w:val="24"/>
          <w:highlight w:val="none"/>
        </w:rPr>
        <w:t xml:space="preserve">为</w:t>
      </w:r>
      <w:r>
        <w:rPr>
          <w:rFonts w:cs="宋体" w:asciiTheme="minorEastAsia" w:hAnsiTheme="minorEastAsia" w:eastAsiaTheme="minorEastAsia"/>
          <w:color w:val="auto"/>
          <w:spacing w:val="6"/>
          <w:sz w:val="24"/>
          <w:highlight w:val="none"/>
        </w:rPr>
        <w:t xml:space="preserve">微型企业。</w:t>
      </w:r>
      <w:r/>
    </w:p>
    <w:p>
      <w:pPr>
        <w:ind w:right="173"/>
        <w:spacing w:before="54" w:line="351" w:lineRule="auto"/>
        <w:widowControl/>
        <w:rPr>
          <w:rFonts w:cs="宋体" w:asciiTheme="minorEastAsia" w:hAnsiTheme="minorEastAsia" w:eastAsiaTheme="minorEastAsia"/>
          <w:color w:val="auto"/>
          <w:spacing w:val="5"/>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二</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工业。从业人员1000人以下或营业收入40000万元以下的为中小微型企业。其中</w:t>
      </w:r>
      <w:r>
        <w:rPr>
          <w:rFonts w:cs="宋体" w:asciiTheme="minorEastAsia" w:hAnsiTheme="minorEastAsia" w:eastAsiaTheme="minorEastAsia"/>
          <w:color w:val="auto"/>
          <w:spacing w:val="3"/>
          <w:sz w:val="24"/>
          <w:highlight w:val="none"/>
        </w:rPr>
        <w:t xml:space="preserve">，</w:t>
      </w:r>
      <w:r>
        <w:rPr>
          <w:rFonts w:cs="宋体" w:asciiTheme="minorEastAsia" w:hAnsiTheme="minorEastAsia" w:eastAsiaTheme="minorEastAsia"/>
          <w:color w:val="auto"/>
          <w:sz w:val="24"/>
          <w:highlight w:val="none"/>
        </w:rPr>
        <w:t xml:space="preserve">从</w:t>
      </w:r>
      <w:r>
        <w:rPr>
          <w:rFonts w:cs="宋体" w:asciiTheme="minorEastAsia" w:hAnsiTheme="minorEastAsia" w:eastAsiaTheme="minorEastAsia"/>
          <w:color w:val="auto"/>
          <w:spacing w:val="2"/>
          <w:sz w:val="24"/>
          <w:highlight w:val="none"/>
        </w:rPr>
        <w:t xml:space="preserve">业人员300人及以上，且营业收入2000万元及以上的</w:t>
      </w:r>
      <w:r>
        <w:rPr>
          <w:rFonts w:cs="宋体" w:asciiTheme="minorEastAsia" w:hAnsiTheme="minorEastAsia" w:eastAsiaTheme="minorEastAsia"/>
          <w:color w:val="auto"/>
          <w:spacing w:val="1"/>
          <w:sz w:val="24"/>
          <w:highlight w:val="none"/>
        </w:rPr>
        <w:t xml:space="preserve">为中型企业；从业人员20人及以上，</w:t>
      </w:r>
      <w:r>
        <w:rPr>
          <w:rFonts w:cs="宋体" w:asciiTheme="minorEastAsia" w:hAnsiTheme="minorEastAsia" w:eastAsiaTheme="minorEastAsia"/>
          <w:color w:val="auto"/>
          <w:spacing w:val="2"/>
          <w:sz w:val="24"/>
          <w:highlight w:val="none"/>
        </w:rPr>
        <w:t xml:space="preserve">且营业收入300万元及以上的为小型企业；从业人员20人以下或营业收入300万元以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right="173"/>
        <w:spacing w:before="54"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三</w:t>
      </w: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建筑</w:t>
      </w:r>
      <w:r>
        <w:rPr>
          <w:rFonts w:cs="宋体" w:asciiTheme="minorEastAsia" w:hAnsiTheme="minorEastAsia" w:eastAsiaTheme="minorEastAsia"/>
          <w:color w:val="auto"/>
          <w:spacing w:val="9"/>
          <w:sz w:val="24"/>
          <w:highlight w:val="none"/>
        </w:rPr>
        <w:t xml:space="preserve">业</w:t>
      </w:r>
      <w:r>
        <w:rPr>
          <w:rFonts w:cs="宋体" w:asciiTheme="minorEastAsia" w:hAnsiTheme="minorEastAsia" w:eastAsiaTheme="minorEastAsia"/>
          <w:color w:val="auto"/>
          <w:spacing w:val="5"/>
          <w:sz w:val="24"/>
          <w:highlight w:val="none"/>
        </w:rPr>
        <w:t xml:space="preserve">。营业收入80000万元以下或资产总额80000万元以下的为中小微型企业。其</w:t>
      </w:r>
      <w:r>
        <w:rPr>
          <w:rFonts w:cs="宋体" w:asciiTheme="minorEastAsia" w:hAnsiTheme="minorEastAsia" w:eastAsiaTheme="minorEastAsia"/>
          <w:color w:val="auto"/>
          <w:spacing w:val="4"/>
          <w:sz w:val="24"/>
          <w:highlight w:val="none"/>
        </w:rPr>
        <w:t xml:space="preserve">中，营业收入6000万元及以上</w:t>
      </w:r>
      <w:r>
        <w:rPr>
          <w:rFonts w:cs="宋体" w:asciiTheme="minorEastAsia" w:hAnsiTheme="minorEastAsia" w:eastAsiaTheme="minorEastAsia"/>
          <w:color w:val="auto"/>
          <w:spacing w:val="3"/>
          <w:sz w:val="24"/>
          <w:highlight w:val="none"/>
        </w:rPr>
        <w:t xml:space="preserve">，</w:t>
      </w:r>
      <w:r>
        <w:rPr>
          <w:rFonts w:cs="宋体" w:asciiTheme="minorEastAsia" w:hAnsiTheme="minorEastAsia" w:eastAsiaTheme="minorEastAsia"/>
          <w:color w:val="auto"/>
          <w:spacing w:val="2"/>
          <w:sz w:val="24"/>
          <w:highlight w:val="none"/>
        </w:rPr>
        <w:t xml:space="preserve">且资产总额5000万元及以上的为中型企业；营业收入300</w:t>
      </w:r>
      <w:r>
        <w:rPr>
          <w:rFonts w:cs="宋体" w:asciiTheme="minorEastAsia" w:hAnsiTheme="minorEastAsia" w:eastAsiaTheme="minorEastAsia"/>
          <w:color w:val="auto"/>
          <w:spacing w:val="5"/>
          <w:sz w:val="24"/>
          <w:highlight w:val="none"/>
        </w:rPr>
        <w:t xml:space="preserve">万</w:t>
      </w:r>
      <w:r>
        <w:rPr>
          <w:rFonts w:cs="宋体" w:asciiTheme="minorEastAsia" w:hAnsiTheme="minorEastAsia" w:eastAsiaTheme="minorEastAsia"/>
          <w:color w:val="auto"/>
          <w:spacing w:val="4"/>
          <w:sz w:val="24"/>
          <w:highlight w:val="none"/>
        </w:rPr>
        <w:t xml:space="preserve">元及以上，且资产总额300万元及以上的为小型企业；营业收入300万元以下或资产总额</w:t>
      </w:r>
      <w:r>
        <w:rPr>
          <w:rFonts w:cs="宋体" w:asciiTheme="minorEastAsia" w:hAnsiTheme="minorEastAsia" w:eastAsiaTheme="minorEastAsia"/>
          <w:color w:val="auto"/>
          <w:spacing w:val="6"/>
          <w:sz w:val="24"/>
          <w:highlight w:val="none"/>
        </w:rPr>
        <w:t xml:space="preserve">30</w:t>
      </w:r>
      <w:r>
        <w:rPr>
          <w:rFonts w:cs="宋体" w:asciiTheme="minorEastAsia" w:hAnsiTheme="minorEastAsia" w:eastAsiaTheme="minorEastAsia"/>
          <w:color w:val="auto"/>
          <w:spacing w:val="4"/>
          <w:sz w:val="24"/>
          <w:highlight w:val="none"/>
        </w:rPr>
        <w:t xml:space="preserve">0</w:t>
      </w:r>
      <w:r>
        <w:rPr>
          <w:rFonts w:cs="宋体" w:asciiTheme="minorEastAsia" w:hAnsiTheme="minorEastAsia" w:eastAsiaTheme="minorEastAsia"/>
          <w:color w:val="auto"/>
          <w:spacing w:val="3"/>
          <w:sz w:val="24"/>
          <w:highlight w:val="none"/>
        </w:rPr>
        <w:t xml:space="preserve">万元以下的为微型企业。</w:t>
      </w:r>
      <w:r/>
    </w:p>
    <w:p>
      <w:pPr>
        <w:ind w:right="174"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四</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批发业。从业人员200人以下或营业收入40000万元以下的为中小微型企业。其</w:t>
      </w:r>
      <w:r>
        <w:rPr>
          <w:rFonts w:cs="宋体" w:asciiTheme="minorEastAsia" w:hAnsiTheme="minorEastAsia" w:eastAsiaTheme="minorEastAsia"/>
          <w:color w:val="auto"/>
          <w:spacing w:val="3"/>
          <w:sz w:val="24"/>
          <w:highlight w:val="none"/>
        </w:rPr>
        <w:t xml:space="preserve">中</w:t>
      </w:r>
      <w:r>
        <w:rPr>
          <w:rFonts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pacing w:val="2"/>
          <w:sz w:val="24"/>
          <w:highlight w:val="none"/>
        </w:rPr>
        <w:t xml:space="preserve">从业人员20人及以上，且营业收入5000万元及以上的为中型企业；从业人员5人</w:t>
      </w:r>
      <w:r>
        <w:rPr>
          <w:rFonts w:cs="宋体" w:asciiTheme="minorEastAsia" w:hAnsiTheme="minorEastAsia" w:eastAsiaTheme="minorEastAsia"/>
          <w:color w:val="auto"/>
          <w:spacing w:val="1"/>
          <w:sz w:val="24"/>
          <w:highlight w:val="none"/>
        </w:rPr>
        <w:t xml:space="preserve">及</w:t>
      </w:r>
      <w:r>
        <w:rPr>
          <w:rFonts w:cs="宋体" w:asciiTheme="minorEastAsia" w:hAnsiTheme="minorEastAsia" w:eastAsiaTheme="minorEastAsia"/>
          <w:color w:val="auto"/>
          <w:sz w:val="24"/>
          <w:highlight w:val="none"/>
        </w:rPr>
        <w:t xml:space="preserve">以上，</w:t>
      </w:r>
      <w:r>
        <w:rPr>
          <w:rFonts w:cs="宋体" w:asciiTheme="minorEastAsia" w:hAnsiTheme="minorEastAsia" w:eastAsiaTheme="minorEastAsia"/>
          <w:color w:val="auto"/>
          <w:spacing w:val="2"/>
          <w:sz w:val="24"/>
          <w:highlight w:val="none"/>
        </w:rPr>
        <w:t xml:space="preserve">且营业收入1000万元及以上的为小型企业；从业人员5人以下或营业收入1000</w:t>
      </w:r>
      <w:r>
        <w:rPr>
          <w:rFonts w:cs="宋体" w:asciiTheme="minorEastAsia" w:hAnsiTheme="minorEastAsia" w:eastAsiaTheme="minorEastAsia"/>
          <w:color w:val="auto"/>
          <w:spacing w:val="1"/>
          <w:sz w:val="24"/>
          <w:highlight w:val="none"/>
        </w:rPr>
        <w:t xml:space="preserve">万</w:t>
      </w:r>
      <w:r>
        <w:rPr>
          <w:rFonts w:cs="宋体" w:asciiTheme="minorEastAsia" w:hAnsiTheme="minorEastAsia" w:eastAsiaTheme="minorEastAsia"/>
          <w:color w:val="auto"/>
          <w:sz w:val="24"/>
          <w:highlight w:val="none"/>
        </w:rPr>
        <w:t xml:space="preserve">元以下的</w:t>
      </w:r>
      <w:r>
        <w:rPr>
          <w:rFonts w:cs="宋体" w:asciiTheme="minorEastAsia" w:hAnsiTheme="minorEastAsia" w:eastAsiaTheme="minorEastAsia"/>
          <w:color w:val="auto"/>
          <w:spacing w:val="7"/>
          <w:sz w:val="24"/>
          <w:highlight w:val="none"/>
        </w:rPr>
        <w:t xml:space="preserve">为微型企业</w:t>
      </w:r>
      <w:r>
        <w:rPr>
          <w:rFonts w:cs="宋体" w:asciiTheme="minorEastAsia" w:hAnsiTheme="minorEastAsia" w:eastAsiaTheme="minorEastAsia"/>
          <w:color w:val="auto"/>
          <w:spacing w:val="5"/>
          <w:sz w:val="24"/>
          <w:highlight w:val="none"/>
        </w:rPr>
        <w:t xml:space="preserve">。</w:t>
      </w:r>
      <w:r/>
    </w:p>
    <w:p>
      <w:pPr>
        <w:ind w:right="70"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五</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零售业。从业人员300人以下或营业收入20000万元以下的为中小微型企业。其中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4"/>
          <w:sz w:val="24"/>
          <w:highlight w:val="none"/>
        </w:rPr>
        <w:t xml:space="preserve">从业人员</w:t>
      </w:r>
      <w:r>
        <w:rPr>
          <w:rFonts w:cs="宋体" w:asciiTheme="minorEastAsia" w:hAnsiTheme="minorEastAsia" w:eastAsiaTheme="minorEastAsia"/>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left="7" w:right="68" w:firstLine="3"/>
        <w:spacing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交通运输业。从业人员1000人以下或营业收入30000万元以下的为中小微型企业</w:t>
      </w:r>
      <w:r>
        <w:rPr>
          <w:rFonts w:cs="宋体" w:asciiTheme="minorEastAsia" w:hAnsiTheme="minorEastAsia" w:eastAsiaTheme="minorEastAsia"/>
          <w:color w:val="auto"/>
          <w:spacing w:val="3"/>
          <w:sz w:val="24"/>
          <w:highlight w:val="none"/>
        </w:rPr>
        <w:t xml:space="preserve">。</w:t>
      </w:r>
      <w:r>
        <w:rPr>
          <w:rFonts w:cs="宋体" w:asciiTheme="minorEastAsia" w:hAnsiTheme="minorEastAsia" w:eastAsiaTheme="minorEastAsia"/>
          <w:color w:val="auto"/>
          <w:sz w:val="24"/>
          <w:highlight w:val="none"/>
        </w:rPr>
        <w:t xml:space="preserve">其</w:t>
      </w:r>
      <w:r>
        <w:rPr>
          <w:rFonts w:cs="宋体" w:asciiTheme="minorEastAsia" w:hAnsiTheme="minorEastAsia" w:eastAsiaTheme="minorEastAsia"/>
          <w:color w:val="auto"/>
          <w:spacing w:val="2"/>
          <w:sz w:val="24"/>
          <w:highlight w:val="none"/>
        </w:rPr>
        <w:t xml:space="preserve">中，从业人员300人及以上，且营业收入3000万元及以上的为</w:t>
      </w:r>
      <w:r>
        <w:rPr>
          <w:rFonts w:cs="宋体" w:asciiTheme="minorEastAsia" w:hAnsiTheme="minorEastAsia" w:eastAsiaTheme="minorEastAsia"/>
          <w:color w:val="auto"/>
          <w:spacing w:val="1"/>
          <w:sz w:val="24"/>
          <w:highlight w:val="none"/>
        </w:rPr>
        <w:t xml:space="preserve">中型企业；从业人员20人及</w:t>
      </w:r>
      <w:r>
        <w:rPr>
          <w:rFonts w:cs="宋体" w:asciiTheme="minorEastAsia" w:hAnsiTheme="minorEastAsia" w:eastAsiaTheme="minorEastAsia"/>
          <w:color w:val="auto"/>
          <w:spacing w:val="2"/>
          <w:sz w:val="24"/>
          <w:highlight w:val="none"/>
        </w:rPr>
        <w:t xml:space="preserve">以上，且营业收入200万元及以上的为小型企业；从业人员20人以下或营业收入20</w:t>
      </w:r>
      <w:r>
        <w:rPr>
          <w:rFonts w:cs="宋体" w:asciiTheme="minorEastAsia" w:hAnsiTheme="minorEastAsia" w:eastAsiaTheme="minorEastAsia"/>
          <w:color w:val="auto"/>
          <w:sz w:val="24"/>
          <w:highlight w:val="none"/>
        </w:rPr>
        <w:t xml:space="preserve">0万元以</w:t>
      </w:r>
      <w:r>
        <w:rPr>
          <w:rFonts w:cs="宋体" w:asciiTheme="minorEastAsia" w:hAnsiTheme="minorEastAsia" w:eastAsiaTheme="minorEastAsia"/>
          <w:color w:val="auto"/>
          <w:spacing w:val="12"/>
          <w:sz w:val="24"/>
          <w:highlight w:val="none"/>
        </w:rPr>
        <w:t xml:space="preserve">下</w:t>
      </w:r>
      <w:r>
        <w:rPr>
          <w:rFonts w:cs="宋体" w:asciiTheme="minorEastAsia" w:hAnsiTheme="minorEastAsia" w:eastAsiaTheme="minorEastAsia"/>
          <w:color w:val="auto"/>
          <w:spacing w:val="6"/>
          <w:sz w:val="24"/>
          <w:highlight w:val="none"/>
        </w:rPr>
        <w:t xml:space="preserve">的为微型企业。</w:t>
      </w:r>
      <w:r/>
    </w:p>
    <w:p>
      <w:pPr>
        <w:ind w:right="16"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七</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仓储业。从业人员200人以下或营业收入30000万元以下的为中小微型企业。其中，</w:t>
      </w:r>
      <w:r>
        <w:rPr>
          <w:rFonts w:cs="宋体" w:asciiTheme="minorEastAsia" w:hAnsiTheme="minorEastAsia" w:eastAsiaTheme="minorEastAsia"/>
          <w:color w:val="auto"/>
          <w:spacing w:val="1"/>
          <w:sz w:val="24"/>
          <w:highlight w:val="none"/>
        </w:rPr>
        <w:t xml:space="preserve">从业人员100人及以上，且营业收入1000万元及以上的为中型企业；从业人员20人及</w:t>
      </w:r>
      <w:r>
        <w:rPr>
          <w:rFonts w:cs="宋体" w:asciiTheme="minorEastAsia" w:hAnsiTheme="minorEastAsia" w:eastAsiaTheme="minorEastAsia"/>
          <w:color w:val="auto"/>
          <w:sz w:val="24"/>
          <w:highlight w:val="none"/>
        </w:rPr>
        <w:t xml:space="preserve">以上，</w:t>
      </w:r>
      <w:r>
        <w:rPr>
          <w:rFonts w:cs="宋体" w:asciiTheme="minorEastAsia" w:hAnsiTheme="minorEastAsia" w:eastAsiaTheme="minorEastAsia"/>
          <w:color w:val="auto"/>
          <w:spacing w:val="2"/>
          <w:sz w:val="24"/>
          <w:highlight w:val="none"/>
        </w:rPr>
        <w:t xml:space="preserve">且营业收入 100万元及以上的为小型企业；从业人员20人以下或营业收入100万元以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right="16"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八</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邮政业。从业人员1000人以下或营业收入30000万元以下的为中小微型企业。其中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1"/>
          <w:sz w:val="24"/>
          <w:highlight w:val="none"/>
        </w:rPr>
        <w:t xml:space="preserve">从业人员300人及以上，且营业收入2000万元及以上的为中型企业；从业人员20人及</w:t>
      </w:r>
      <w:r>
        <w:rPr>
          <w:rFonts w:cs="宋体" w:asciiTheme="minorEastAsia" w:hAnsiTheme="minorEastAsia" w:eastAsiaTheme="minorEastAsia"/>
          <w:color w:val="auto"/>
          <w:sz w:val="24"/>
          <w:highlight w:val="none"/>
        </w:rPr>
        <w:t xml:space="preserve">以上</w:t>
      </w:r>
      <w:r>
        <w:rPr>
          <w:rFonts w:hint="eastAsia" w:cs="宋体" w:asciiTheme="minorEastAsia" w:hAnsiTheme="minorEastAsia" w:eastAsiaTheme="minorEastAsia"/>
          <w:color w:val="auto"/>
          <w:sz w:val="24"/>
          <w:highlight w:val="none"/>
        </w:rPr>
        <w:t xml:space="preserve">，</w:t>
      </w:r>
      <w:r>
        <w:rPr>
          <w:rFonts w:cs="宋体" w:asciiTheme="minorEastAsia" w:hAnsiTheme="minorEastAsia" w:eastAsiaTheme="minorEastAsia"/>
          <w:color w:val="auto"/>
          <w:spacing w:val="2"/>
          <w:sz w:val="24"/>
          <w:highlight w:val="none"/>
        </w:rPr>
        <w:t xml:space="preserve">且营业收入100万元及以上的为小型企业；从业人员20人以下或营业收入100万元以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right="16" w:firstLine="10"/>
        <w:spacing w:before="1"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九</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住宿业。从业人员300人以下或营业收入10000万元以下的为中小微型企业。其中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1"/>
          <w:sz w:val="24"/>
          <w:highlight w:val="none"/>
        </w:rPr>
        <w:t xml:space="preserve">从业人员100人及以上，且营业收入2000万元及以上的为中型企业；从业人员10人及</w:t>
      </w:r>
      <w:r>
        <w:rPr>
          <w:rFonts w:cs="宋体" w:asciiTheme="minorEastAsia" w:hAnsiTheme="minorEastAsia" w:eastAsiaTheme="minorEastAsia"/>
          <w:color w:val="auto"/>
          <w:sz w:val="24"/>
          <w:highlight w:val="none"/>
        </w:rPr>
        <w:t xml:space="preserve">以上，</w:t>
      </w:r>
      <w:r>
        <w:rPr>
          <w:rFonts w:cs="宋体" w:asciiTheme="minorEastAsia" w:hAnsiTheme="minorEastAsia" w:eastAsiaTheme="minorEastAsia"/>
          <w:color w:val="auto"/>
          <w:spacing w:val="2"/>
          <w:sz w:val="24"/>
          <w:highlight w:val="none"/>
        </w:rPr>
        <w:t xml:space="preserve">且营业收入100万元及以上的为小型企业；从业人员10人以下或营业收入100万元以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right="16"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2"/>
          <w:sz w:val="24"/>
          <w:highlight w:val="none"/>
        </w:rPr>
        <w:t xml:space="preserve">（</w:t>
      </w:r>
      <w:r>
        <w:rPr>
          <w:rFonts w:cs="宋体" w:asciiTheme="minorEastAsia" w:hAnsiTheme="minorEastAsia" w:eastAsiaTheme="minorEastAsia"/>
          <w:color w:val="auto"/>
          <w:spacing w:val="7"/>
          <w:sz w:val="24"/>
          <w:highlight w:val="none"/>
        </w:rPr>
        <w:t xml:space="preserve">十</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餐饮业。从业人员300人以下或营业收入10000万元以下的为中小微型企业。其中，</w:t>
      </w:r>
      <w:r>
        <w:rPr>
          <w:rFonts w:cs="宋体" w:asciiTheme="minorEastAsia" w:hAnsiTheme="minorEastAsia" w:eastAsiaTheme="minorEastAsia"/>
          <w:color w:val="auto"/>
          <w:spacing w:val="1"/>
          <w:sz w:val="24"/>
          <w:highlight w:val="none"/>
        </w:rPr>
        <w:t xml:space="preserve">从业人员100人及以上，且营业收入2000万元及以上的为中型企业；从业人员10人及</w:t>
      </w:r>
      <w:r>
        <w:rPr>
          <w:rFonts w:cs="宋体" w:asciiTheme="minorEastAsia" w:hAnsiTheme="minorEastAsia" w:eastAsiaTheme="minorEastAsia"/>
          <w:color w:val="auto"/>
          <w:sz w:val="24"/>
          <w:highlight w:val="none"/>
        </w:rPr>
        <w:t xml:space="preserve">以上，</w:t>
      </w:r>
      <w:r>
        <w:rPr>
          <w:rFonts w:cs="宋体" w:asciiTheme="minorEastAsia" w:hAnsiTheme="minorEastAsia" w:eastAsiaTheme="minorEastAsia"/>
          <w:color w:val="auto"/>
          <w:spacing w:val="2"/>
          <w:sz w:val="24"/>
          <w:highlight w:val="none"/>
        </w:rPr>
        <w:t xml:space="preserve">且营业收入100万元及以上的为小型企业；从业人员10人以下或营业收入100万元以</w:t>
      </w:r>
      <w:r>
        <w:rPr>
          <w:rFonts w:cs="宋体" w:asciiTheme="minorEastAsia" w:hAnsiTheme="minorEastAsia" w:eastAsiaTheme="minorEastAsia"/>
          <w:color w:val="auto"/>
          <w:sz w:val="24"/>
          <w:highlight w:val="none"/>
        </w:rPr>
        <w:t xml:space="preserve">下的为</w:t>
      </w:r>
      <w:r>
        <w:rPr>
          <w:rFonts w:cs="宋体" w:asciiTheme="minorEastAsia" w:hAnsiTheme="minorEastAsia" w:eastAsiaTheme="minorEastAsia"/>
          <w:color w:val="auto"/>
          <w:spacing w:val="6"/>
          <w:sz w:val="24"/>
          <w:highlight w:val="none"/>
        </w:rPr>
        <w:t xml:space="preserve">微型企业</w:t>
      </w:r>
      <w:r>
        <w:rPr>
          <w:rFonts w:cs="宋体" w:asciiTheme="minorEastAsia" w:hAnsiTheme="minorEastAsia" w:eastAsiaTheme="minorEastAsia"/>
          <w:color w:val="auto"/>
          <w:spacing w:val="5"/>
          <w:sz w:val="24"/>
          <w:highlight w:val="none"/>
        </w:rPr>
        <w:t xml:space="preserve">。</w:t>
      </w:r>
      <w:r/>
    </w:p>
    <w:p>
      <w:pPr>
        <w:ind w:firstLine="10"/>
        <w:spacing w:before="3" w:line="355"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8"/>
          <w:sz w:val="24"/>
          <w:highlight w:val="none"/>
        </w:rPr>
        <w:t xml:space="preserve">（</w:t>
      </w:r>
      <w:r>
        <w:rPr>
          <w:rFonts w:cs="宋体" w:asciiTheme="minorEastAsia" w:hAnsiTheme="minorEastAsia" w:eastAsiaTheme="minorEastAsia"/>
          <w:color w:val="auto"/>
          <w:spacing w:val="5"/>
          <w:sz w:val="24"/>
          <w:highlight w:val="none"/>
        </w:rPr>
        <w:t xml:space="preserve">十一</w:t>
      </w:r>
      <w:r>
        <w:rPr>
          <w:rFonts w:hint="eastAsia" w:cs="宋体" w:asciiTheme="minorEastAsia" w:hAnsiTheme="minorEastAsia" w:eastAsiaTheme="minorEastAsia"/>
          <w:color w:val="auto"/>
          <w:spacing w:val="5"/>
          <w:sz w:val="24"/>
          <w:highlight w:val="none"/>
        </w:rPr>
        <w:t xml:space="preserve">）</w:t>
      </w:r>
      <w:r>
        <w:rPr>
          <w:rFonts w:cs="宋体" w:asciiTheme="minorEastAsia" w:hAnsiTheme="minorEastAsia" w:eastAsiaTheme="minorEastAsia"/>
          <w:color w:val="auto"/>
          <w:spacing w:val="5"/>
          <w:sz w:val="24"/>
          <w:highlight w:val="none"/>
        </w:rPr>
        <w:t xml:space="preserve">信息传输业。从业人员2000人以下或营业收入100000万元以下的为中小微型企业。</w:t>
      </w:r>
      <w:r>
        <w:rPr>
          <w:rFonts w:cs="宋体" w:asciiTheme="minorEastAsia" w:hAnsiTheme="minorEastAsia" w:eastAsiaTheme="minorEastAsia"/>
          <w:color w:val="auto"/>
          <w:spacing w:val="2"/>
          <w:sz w:val="24"/>
          <w:highlight w:val="none"/>
        </w:rPr>
        <w:t xml:space="preserve">其中，从业人员100人及以上，且营业收入1000万元及以上的为中型企业；从业人员</w:t>
      </w:r>
      <w:r>
        <w:rPr>
          <w:rFonts w:cs="宋体" w:asciiTheme="minorEastAsia" w:hAnsiTheme="minorEastAsia" w:eastAsiaTheme="minorEastAsia"/>
          <w:color w:val="auto"/>
          <w:sz w:val="24"/>
          <w:highlight w:val="none"/>
        </w:rPr>
        <w:t xml:space="preserve">10人</w:t>
      </w:r>
      <w:r>
        <w:rPr>
          <w:rFonts w:cs="宋体" w:asciiTheme="minorEastAsia" w:hAnsiTheme="minorEastAsia" w:eastAsiaTheme="minorEastAsia"/>
          <w:color w:val="auto"/>
          <w:spacing w:val="2"/>
          <w:sz w:val="24"/>
          <w:highlight w:val="none"/>
        </w:rPr>
        <w:t xml:space="preserve">及以上，且营业收入100万元及以上的为小型企业；从业人员10人以下或营业收入100</w:t>
      </w:r>
      <w:r>
        <w:rPr>
          <w:rFonts w:cs="宋体" w:asciiTheme="minorEastAsia" w:hAnsiTheme="minorEastAsia" w:eastAsiaTheme="minorEastAsia"/>
          <w:color w:val="auto"/>
          <w:sz w:val="24"/>
          <w:highlight w:val="none"/>
        </w:rPr>
        <w:t xml:space="preserve">万元</w:t>
      </w:r>
      <w:r>
        <w:rPr>
          <w:rFonts w:cs="宋体" w:asciiTheme="minorEastAsia" w:hAnsiTheme="minorEastAsia" w:eastAsiaTheme="minorEastAsia"/>
          <w:color w:val="auto"/>
          <w:spacing w:val="8"/>
          <w:sz w:val="24"/>
          <w:highlight w:val="none"/>
        </w:rPr>
        <w:t xml:space="preserve">以下的为微型企业</w:t>
      </w:r>
      <w:r>
        <w:rPr>
          <w:rFonts w:cs="宋体" w:asciiTheme="minorEastAsia" w:hAnsiTheme="minorEastAsia" w:eastAsiaTheme="minorEastAsia"/>
          <w:color w:val="auto"/>
          <w:spacing w:val="6"/>
          <w:sz w:val="24"/>
          <w:highlight w:val="none"/>
        </w:rPr>
        <w:t xml:space="preserve">。</w:t>
      </w:r>
      <w:r/>
    </w:p>
    <w:p>
      <w:pPr>
        <w:ind w:firstLine="10"/>
        <w:spacing w:before="54"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十二</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软件和信息技术服务业。从业人员300人以下或营业收入10000万元以下的为</w:t>
      </w:r>
      <w:r>
        <w:rPr>
          <w:rFonts w:cs="宋体" w:asciiTheme="minorEastAsia" w:hAnsiTheme="minorEastAsia" w:eastAsiaTheme="minorEastAsia"/>
          <w:color w:val="auto"/>
          <w:spacing w:val="3"/>
          <w:sz w:val="24"/>
          <w:highlight w:val="none"/>
        </w:rPr>
        <w:t xml:space="preserve">中</w:t>
      </w:r>
      <w:r>
        <w:rPr>
          <w:rFonts w:cs="宋体" w:asciiTheme="minorEastAsia" w:hAnsiTheme="minorEastAsia" w:eastAsiaTheme="minorEastAsia"/>
          <w:color w:val="auto"/>
          <w:sz w:val="24"/>
          <w:highlight w:val="none"/>
        </w:rPr>
        <w:t xml:space="preserve">小</w:t>
      </w:r>
      <w:r>
        <w:rPr>
          <w:rFonts w:cs="宋体" w:asciiTheme="minorEastAsia" w:hAnsiTheme="minorEastAsia" w:eastAsiaTheme="minorEastAsia"/>
          <w:color w:val="auto"/>
          <w:spacing w:val="8"/>
          <w:sz w:val="24"/>
          <w:highlight w:val="none"/>
        </w:rPr>
        <w:t xml:space="preserve">微</w:t>
      </w:r>
      <w:r>
        <w:rPr>
          <w:rFonts w:cs="宋体" w:asciiTheme="minorEastAsia" w:hAnsiTheme="minorEastAsia" w:eastAsiaTheme="minorEastAsia"/>
          <w:color w:val="auto"/>
          <w:spacing w:val="4"/>
          <w:sz w:val="24"/>
          <w:highlight w:val="none"/>
        </w:rPr>
        <w:t xml:space="preserve">型企业。其中，从业人员100人及以上，且营业收入1000万元及以上的为中型企业；从业</w:t>
      </w:r>
      <w:r>
        <w:rPr>
          <w:rFonts w:cs="宋体" w:asciiTheme="minorEastAsia" w:hAnsiTheme="minorEastAsia" w:eastAsiaTheme="minorEastAsia"/>
          <w:color w:val="auto"/>
          <w:spacing w:val="2"/>
          <w:sz w:val="24"/>
          <w:highlight w:val="none"/>
        </w:rPr>
        <w:t xml:space="preserve">人员10人及以上，且营业收入50万元及以上的为小型企业；从业人员10人以下或营业收</w:t>
      </w:r>
      <w:r>
        <w:rPr>
          <w:rFonts w:cs="宋体" w:asciiTheme="minorEastAsia" w:hAnsiTheme="minorEastAsia" w:eastAsiaTheme="minorEastAsia"/>
          <w:color w:val="auto"/>
          <w:spacing w:val="1"/>
          <w:sz w:val="24"/>
          <w:highlight w:val="none"/>
        </w:rPr>
        <w:t xml:space="preserve">入</w:t>
      </w:r>
      <w:r>
        <w:rPr>
          <w:rFonts w:cs="宋体" w:asciiTheme="minorEastAsia" w:hAnsiTheme="minorEastAsia" w:eastAsiaTheme="minorEastAsia"/>
          <w:color w:val="auto"/>
          <w:spacing w:val="6"/>
          <w:sz w:val="24"/>
          <w:highlight w:val="none"/>
        </w:rPr>
        <w:t xml:space="preserve">50</w:t>
      </w:r>
      <w:r>
        <w:rPr>
          <w:rFonts w:cs="宋体" w:asciiTheme="minorEastAsia" w:hAnsiTheme="minorEastAsia" w:eastAsiaTheme="minorEastAsia"/>
          <w:color w:val="auto"/>
          <w:spacing w:val="3"/>
          <w:sz w:val="24"/>
          <w:highlight w:val="none"/>
        </w:rPr>
        <w:t xml:space="preserve">万元以下的为微型企业。</w:t>
      </w:r>
      <w:r/>
    </w:p>
    <w:p>
      <w:pPr>
        <w:ind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十三</w:t>
      </w: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房地</w:t>
      </w:r>
      <w:r>
        <w:rPr>
          <w:rFonts w:cs="宋体" w:asciiTheme="minorEastAsia" w:hAnsiTheme="minorEastAsia" w:eastAsiaTheme="minorEastAsia"/>
          <w:color w:val="auto"/>
          <w:spacing w:val="5"/>
          <w:sz w:val="24"/>
          <w:highlight w:val="none"/>
        </w:rPr>
        <w:t xml:space="preserve">产开发经营。营业收入200000万元以下或资产总额10000万元以下的为中小微</w:t>
      </w:r>
      <w:r>
        <w:rPr>
          <w:rFonts w:cs="宋体" w:asciiTheme="minorEastAsia" w:hAnsiTheme="minorEastAsia" w:eastAsiaTheme="minorEastAsia"/>
          <w:color w:val="auto"/>
          <w:spacing w:val="6"/>
          <w:sz w:val="24"/>
          <w:highlight w:val="none"/>
        </w:rPr>
        <w:t xml:space="preserve">型</w:t>
      </w:r>
      <w:r>
        <w:rPr>
          <w:rFonts w:cs="宋体" w:asciiTheme="minorEastAsia" w:hAnsiTheme="minorEastAsia" w:eastAsiaTheme="minorEastAsia"/>
          <w:color w:val="auto"/>
          <w:spacing w:val="4"/>
          <w:sz w:val="24"/>
          <w:highlight w:val="none"/>
        </w:rPr>
        <w:t xml:space="preserve">企业。其中，营业收入1000万元及以上，且资产总额5000万元及以上的为中型企业；营</w:t>
      </w:r>
      <w:r>
        <w:rPr>
          <w:rFonts w:cs="宋体" w:asciiTheme="minorEastAsia" w:hAnsiTheme="minorEastAsia" w:eastAsiaTheme="minorEastAsia"/>
          <w:color w:val="auto"/>
          <w:spacing w:val="2"/>
          <w:sz w:val="24"/>
          <w:highlight w:val="none"/>
        </w:rPr>
        <w:t xml:space="preserve">业收入100万元及以上，且资产总额2000万元及以上的为小型企业；营业收入100</w:t>
      </w:r>
      <w:r>
        <w:rPr>
          <w:rFonts w:cs="宋体" w:asciiTheme="minorEastAsia" w:hAnsiTheme="minorEastAsia" w:eastAsiaTheme="minorEastAsia"/>
          <w:color w:val="auto"/>
          <w:spacing w:val="1"/>
          <w:sz w:val="24"/>
          <w:highlight w:val="none"/>
        </w:rPr>
        <w:t xml:space="preserve">万</w:t>
      </w:r>
      <w:r>
        <w:rPr>
          <w:rFonts w:cs="宋体" w:asciiTheme="minorEastAsia" w:hAnsiTheme="minorEastAsia" w:eastAsiaTheme="minorEastAsia"/>
          <w:color w:val="auto"/>
          <w:sz w:val="24"/>
          <w:highlight w:val="none"/>
        </w:rPr>
        <w:t xml:space="preserve">元以下</w:t>
      </w:r>
      <w:r>
        <w:rPr>
          <w:rFonts w:cs="宋体" w:asciiTheme="minorEastAsia" w:hAnsiTheme="minorEastAsia" w:eastAsiaTheme="minorEastAsia"/>
          <w:color w:val="auto"/>
          <w:spacing w:val="3"/>
          <w:sz w:val="24"/>
          <w:highlight w:val="none"/>
        </w:rPr>
        <w:t xml:space="preserve">或资产总额2000万元以下的为微型企业</w:t>
      </w:r>
      <w:r>
        <w:rPr>
          <w:rFonts w:cs="宋体" w:asciiTheme="minorEastAsia" w:hAnsiTheme="minorEastAsia" w:eastAsiaTheme="minorEastAsia"/>
          <w:color w:val="auto"/>
          <w:spacing w:val="1"/>
          <w:sz w:val="24"/>
          <w:highlight w:val="none"/>
        </w:rPr>
        <w:t xml:space="preserve">。</w:t>
      </w:r>
      <w:r/>
    </w:p>
    <w:p>
      <w:pPr>
        <w:ind w:left="19" w:right="2" w:hanging="9"/>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十四</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物业管理。从业人员1000人以下或营业收入5000万元以下的为中小微型企业</w:t>
      </w:r>
      <w:r>
        <w:rPr>
          <w:rFonts w:cs="宋体" w:asciiTheme="minorEastAsia" w:hAnsiTheme="minorEastAsia" w:eastAsiaTheme="minorEastAsia"/>
          <w:color w:val="auto"/>
          <w:spacing w:val="3"/>
          <w:sz w:val="24"/>
          <w:highlight w:val="none"/>
        </w:rPr>
        <w:t xml:space="preserve">。</w:t>
      </w:r>
      <w:r>
        <w:rPr>
          <w:rFonts w:cs="宋体" w:asciiTheme="minorEastAsia" w:hAnsiTheme="minorEastAsia" w:eastAsiaTheme="minorEastAsia"/>
          <w:color w:val="auto"/>
          <w:sz w:val="24"/>
          <w:highlight w:val="none"/>
        </w:rPr>
        <w:t xml:space="preserve">其</w:t>
      </w:r>
      <w:r>
        <w:rPr>
          <w:rFonts w:cs="宋体" w:asciiTheme="minorEastAsia" w:hAnsiTheme="minorEastAsia" w:eastAsiaTheme="minorEastAsia"/>
          <w:color w:val="auto"/>
          <w:spacing w:val="2"/>
          <w:sz w:val="24"/>
          <w:highlight w:val="none"/>
        </w:rPr>
        <w:t xml:space="preserve">中，从业人员300人及以上，且营业收入1</w:t>
      </w:r>
      <w:r>
        <w:rPr>
          <w:rFonts w:cs="宋体" w:asciiTheme="minorEastAsia" w:hAnsiTheme="minorEastAsia" w:eastAsiaTheme="minorEastAsia"/>
          <w:color w:val="auto"/>
          <w:spacing w:val="1"/>
          <w:sz w:val="24"/>
          <w:highlight w:val="none"/>
        </w:rPr>
        <w:t xml:space="preserve">000万元及以上的为中型企业；从业人员100人及</w:t>
      </w:r>
      <w:r>
        <w:rPr>
          <w:rFonts w:cs="宋体" w:asciiTheme="minorEastAsia" w:hAnsiTheme="minorEastAsia" w:eastAsiaTheme="minorEastAsia"/>
          <w:color w:val="auto"/>
          <w:spacing w:val="2"/>
          <w:sz w:val="24"/>
          <w:highlight w:val="none"/>
        </w:rPr>
        <w:t xml:space="preserve">以上，且营业收入500万元及以上的为小</w:t>
      </w:r>
      <w:r>
        <w:rPr>
          <w:rFonts w:cs="宋体" w:asciiTheme="minorEastAsia" w:hAnsiTheme="minorEastAsia" w:eastAsiaTheme="minorEastAsia"/>
          <w:color w:val="auto"/>
          <w:spacing w:val="1"/>
          <w:sz w:val="24"/>
          <w:highlight w:val="none"/>
        </w:rPr>
        <w:t xml:space="preserve">型企业；从业人员100人以下或营业收入500万元</w:t>
      </w:r>
      <w:r>
        <w:rPr>
          <w:rFonts w:cs="宋体" w:asciiTheme="minorEastAsia" w:hAnsiTheme="minorEastAsia" w:eastAsiaTheme="minorEastAsia"/>
          <w:color w:val="auto"/>
          <w:spacing w:val="9"/>
          <w:sz w:val="24"/>
          <w:highlight w:val="none"/>
        </w:rPr>
        <w:t xml:space="preserve">以</w:t>
      </w:r>
      <w:r>
        <w:rPr>
          <w:rFonts w:cs="宋体" w:asciiTheme="minorEastAsia" w:hAnsiTheme="minorEastAsia" w:eastAsiaTheme="minorEastAsia"/>
          <w:color w:val="auto"/>
          <w:spacing w:val="5"/>
          <w:sz w:val="24"/>
          <w:highlight w:val="none"/>
        </w:rPr>
        <w:t xml:space="preserve">下的为微型企业。</w:t>
      </w:r>
      <w:r/>
    </w:p>
    <w:p>
      <w:pPr>
        <w:ind w:left="4" w:firstLine="6"/>
        <w:spacing w:line="351"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十五</w:t>
      </w:r>
      <w:r>
        <w:rPr>
          <w:rFonts w:hint="eastAsia" w:cs="宋体" w:asciiTheme="minorEastAsia" w:hAnsiTheme="minorEastAsia" w:eastAsiaTheme="minorEastAsia"/>
          <w:color w:val="auto"/>
          <w:spacing w:val="10"/>
          <w:sz w:val="24"/>
          <w:highlight w:val="none"/>
        </w:rPr>
        <w:t xml:space="preserve">）</w:t>
      </w:r>
      <w:r>
        <w:rPr>
          <w:rFonts w:cs="宋体" w:asciiTheme="minorEastAsia" w:hAnsiTheme="minorEastAsia" w:eastAsiaTheme="minorEastAsia"/>
          <w:color w:val="auto"/>
          <w:spacing w:val="10"/>
          <w:sz w:val="24"/>
          <w:highlight w:val="none"/>
        </w:rPr>
        <w:t xml:space="preserve">租赁</w:t>
      </w:r>
      <w:r>
        <w:rPr>
          <w:rFonts w:cs="宋体" w:asciiTheme="minorEastAsia" w:hAnsiTheme="minorEastAsia" w:eastAsiaTheme="minorEastAsia"/>
          <w:color w:val="auto"/>
          <w:spacing w:val="7"/>
          <w:sz w:val="24"/>
          <w:highlight w:val="none"/>
        </w:rPr>
        <w:t xml:space="preserve">和</w:t>
      </w:r>
      <w:r>
        <w:rPr>
          <w:rFonts w:cs="宋体" w:asciiTheme="minorEastAsia" w:hAnsiTheme="minorEastAsia" w:eastAsiaTheme="minorEastAsia"/>
          <w:color w:val="auto"/>
          <w:spacing w:val="5"/>
          <w:sz w:val="24"/>
          <w:highlight w:val="none"/>
        </w:rPr>
        <w:t xml:space="preserve">商务服务业。从业人员300人以下或资产总额120000万元以下的为中小微型</w:t>
      </w:r>
      <w:r>
        <w:rPr>
          <w:rFonts w:cs="宋体" w:asciiTheme="minorEastAsia" w:hAnsiTheme="minorEastAsia" w:eastAsiaTheme="minorEastAsia"/>
          <w:color w:val="auto"/>
          <w:spacing w:val="7"/>
          <w:sz w:val="24"/>
          <w:highlight w:val="none"/>
        </w:rPr>
        <w:t xml:space="preserve">企</w:t>
      </w:r>
      <w:r>
        <w:rPr>
          <w:rFonts w:cs="宋体" w:asciiTheme="minorEastAsia" w:hAnsiTheme="minorEastAsia" w:eastAsiaTheme="minorEastAsia"/>
          <w:color w:val="auto"/>
          <w:spacing w:val="4"/>
          <w:sz w:val="24"/>
          <w:highlight w:val="none"/>
        </w:rPr>
        <w:t xml:space="preserve">业。其中，从业人员100人及以上，且资产总额8000万元及以上的为中型企业；从业人员</w:t>
      </w:r>
      <w:r>
        <w:rPr>
          <w:rFonts w:cs="宋体" w:asciiTheme="minorEastAsia" w:hAnsiTheme="minorEastAsia" w:eastAsiaTheme="minorEastAsia"/>
          <w:color w:val="auto"/>
          <w:spacing w:val="2"/>
          <w:sz w:val="24"/>
          <w:highlight w:val="none"/>
        </w:rPr>
        <w:t xml:space="preserve">10人及以上，且资产总额100万元及以上的为小型企业；从业人员10人以下或资产总</w:t>
      </w:r>
      <w:r>
        <w:rPr>
          <w:rFonts w:cs="宋体" w:asciiTheme="minorEastAsia" w:hAnsiTheme="minorEastAsia" w:eastAsiaTheme="minorEastAsia"/>
          <w:color w:val="auto"/>
          <w:sz w:val="24"/>
          <w:highlight w:val="none"/>
        </w:rPr>
        <w:t xml:space="preserve">额100</w:t>
      </w:r>
      <w:r>
        <w:rPr>
          <w:rFonts w:cs="宋体" w:asciiTheme="minorEastAsia" w:hAnsiTheme="minorEastAsia" w:eastAsiaTheme="minorEastAsia"/>
          <w:color w:val="auto"/>
          <w:spacing w:val="8"/>
          <w:sz w:val="24"/>
          <w:highlight w:val="none"/>
        </w:rPr>
        <w:t xml:space="preserve">万元以下的为微型企业</w:t>
      </w:r>
      <w:r>
        <w:rPr>
          <w:rFonts w:cs="宋体" w:asciiTheme="minorEastAsia" w:hAnsiTheme="minorEastAsia" w:eastAsiaTheme="minorEastAsia"/>
          <w:color w:val="auto"/>
          <w:spacing w:val="6"/>
          <w:sz w:val="24"/>
          <w:highlight w:val="none"/>
        </w:rPr>
        <w:t xml:space="preserve">。</w:t>
      </w:r>
      <w:r/>
    </w:p>
    <w:p>
      <w:pPr>
        <w:ind w:right="105" w:firstLine="10"/>
        <w:spacing w:before="2" w:line="35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十六</w:t>
      </w:r>
      <w:r>
        <w:rPr>
          <w:rFonts w:hint="eastAsia" w:cs="宋体" w:asciiTheme="minorEastAsia" w:hAnsiTheme="minorEastAsia" w:eastAsiaTheme="minorEastAsia"/>
          <w:color w:val="auto"/>
          <w:spacing w:val="6"/>
          <w:sz w:val="24"/>
          <w:highlight w:val="none"/>
        </w:rPr>
        <w:t xml:space="preserve">）</w:t>
      </w:r>
      <w:r>
        <w:rPr>
          <w:rFonts w:cs="宋体" w:asciiTheme="minorEastAsia" w:hAnsiTheme="minorEastAsia" w:eastAsiaTheme="minorEastAsia"/>
          <w:color w:val="auto"/>
          <w:spacing w:val="6"/>
          <w:sz w:val="24"/>
          <w:highlight w:val="none"/>
        </w:rPr>
        <w:t xml:space="preserve">其他未列明行业。从业人员300人以下的为中小微型企业。其中，从业人员100</w:t>
      </w:r>
      <w:r>
        <w:rPr>
          <w:rFonts w:cs="宋体" w:asciiTheme="minorEastAsia" w:hAnsiTheme="minorEastAsia" w:eastAsiaTheme="minorEastAsia"/>
          <w:color w:val="auto"/>
          <w:spacing w:val="3"/>
          <w:sz w:val="24"/>
          <w:highlight w:val="none"/>
        </w:rPr>
        <w:t xml:space="preserve">人</w:t>
      </w:r>
      <w:r>
        <w:rPr>
          <w:rFonts w:cs="宋体" w:asciiTheme="minorEastAsia" w:hAnsiTheme="minorEastAsia" w:eastAsiaTheme="minorEastAsia"/>
          <w:color w:val="auto"/>
          <w:spacing w:val="8"/>
          <w:sz w:val="24"/>
          <w:highlight w:val="none"/>
        </w:rPr>
        <w:t xml:space="preserve">及以</w:t>
      </w:r>
      <w:r>
        <w:rPr>
          <w:rFonts w:cs="宋体" w:asciiTheme="minorEastAsia" w:hAnsiTheme="minorEastAsia" w:eastAsiaTheme="minorEastAsia"/>
          <w:color w:val="auto"/>
          <w:spacing w:val="6"/>
          <w:sz w:val="24"/>
          <w:highlight w:val="none"/>
        </w:rPr>
        <w:t xml:space="preserve">上</w:t>
      </w:r>
      <w:r>
        <w:rPr>
          <w:rFonts w:cs="宋体" w:asciiTheme="minorEastAsia" w:hAnsiTheme="minorEastAsia" w:eastAsiaTheme="minorEastAsia"/>
          <w:color w:val="auto"/>
          <w:spacing w:val="4"/>
          <w:sz w:val="24"/>
          <w:highlight w:val="none"/>
        </w:rPr>
        <w:t xml:space="preserve">的为中型企业；从业人员10人及以上的为小型企业；从业人员10人以下的为微型企</w:t>
      </w:r>
      <w:r>
        <w:rPr>
          <w:rFonts w:cs="宋体" w:asciiTheme="minorEastAsia" w:hAnsiTheme="minorEastAsia" w:eastAsiaTheme="minorEastAsia"/>
          <w:color w:val="auto"/>
          <w:spacing w:val="1"/>
          <w:sz w:val="24"/>
          <w:highlight w:val="none"/>
        </w:rPr>
        <w:t xml:space="preserve">业</w:t>
      </w:r>
      <w:r>
        <w:rPr>
          <w:rFonts w:cs="宋体" w:asciiTheme="minorEastAsia" w:hAnsiTheme="minorEastAsia" w:eastAsiaTheme="minorEastAsia"/>
          <w:color w:val="auto"/>
          <w:sz w:val="24"/>
          <w:highlight w:val="none"/>
        </w:rPr>
        <w:t xml:space="preserve">。</w:t>
      </w:r>
      <w:r/>
    </w:p>
    <w:p>
      <w:pPr>
        <w:ind w:left="4"/>
        <w:spacing w:line="237"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9"/>
          <w:sz w:val="24"/>
          <w:highlight w:val="none"/>
        </w:rPr>
        <w:t xml:space="preserve">五、企业类型的划分以统计部门的统计数据为依据</w:t>
      </w:r>
      <w:r>
        <w:rPr>
          <w:rFonts w:cs="宋体" w:asciiTheme="minorEastAsia" w:hAnsiTheme="minorEastAsia" w:eastAsiaTheme="minorEastAsia"/>
          <w:color w:val="auto"/>
          <w:spacing w:val="8"/>
          <w:sz w:val="24"/>
          <w:highlight w:val="none"/>
        </w:rPr>
        <w:t xml:space="preserve">。</w:t>
      </w:r>
      <w:r/>
    </w:p>
    <w:p>
      <w:pPr>
        <w:ind w:right="105" w:firstLine="1"/>
        <w:spacing w:before="123" w:line="288"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六、本</w:t>
      </w:r>
      <w:r>
        <w:rPr>
          <w:rFonts w:cs="宋体" w:asciiTheme="minorEastAsia" w:hAnsiTheme="minorEastAsia" w:eastAsiaTheme="minorEastAsia"/>
          <w:color w:val="auto"/>
          <w:spacing w:val="9"/>
          <w:sz w:val="24"/>
          <w:highlight w:val="none"/>
        </w:rPr>
        <w:t xml:space="preserve">规定适用于在中华人民共和国境内依法设立的各类所有制和各种组织形式的企业。个</w:t>
      </w:r>
      <w:r>
        <w:rPr>
          <w:rFonts w:cs="宋体" w:asciiTheme="minorEastAsia" w:hAnsiTheme="minorEastAsia" w:eastAsiaTheme="minorEastAsia"/>
          <w:color w:val="auto"/>
          <w:spacing w:val="13"/>
          <w:sz w:val="24"/>
          <w:highlight w:val="none"/>
        </w:rPr>
        <w:t xml:space="preserve">体</w:t>
      </w:r>
      <w:r>
        <w:rPr>
          <w:rFonts w:cs="宋体" w:asciiTheme="minorEastAsia" w:hAnsiTheme="minorEastAsia" w:eastAsiaTheme="minorEastAsia"/>
          <w:color w:val="auto"/>
          <w:spacing w:val="9"/>
          <w:sz w:val="24"/>
          <w:highlight w:val="none"/>
        </w:rPr>
        <w:t xml:space="preserve">工商户和本规定以外的行业，参照本规定进行划型。</w:t>
      </w:r>
      <w:r/>
    </w:p>
    <w:p>
      <w:pPr>
        <w:ind w:right="105"/>
        <w:spacing w:before="137" w:line="309"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七、本</w:t>
      </w:r>
      <w:r>
        <w:rPr>
          <w:rFonts w:cs="宋体" w:asciiTheme="minorEastAsia" w:hAnsiTheme="minorEastAsia" w:eastAsiaTheme="minorEastAsia"/>
          <w:color w:val="auto"/>
          <w:spacing w:val="12"/>
          <w:sz w:val="24"/>
          <w:highlight w:val="none"/>
        </w:rPr>
        <w:t xml:space="preserve">规</w:t>
      </w:r>
      <w:r>
        <w:rPr>
          <w:rFonts w:cs="宋体" w:asciiTheme="minorEastAsia" w:hAnsiTheme="minorEastAsia" w:eastAsiaTheme="minorEastAsia"/>
          <w:color w:val="auto"/>
          <w:spacing w:val="9"/>
          <w:sz w:val="24"/>
          <w:highlight w:val="none"/>
        </w:rPr>
        <w:t xml:space="preserve">定的中型企业标准上限即为大型企业标准的下限，国家统计部门据此制定大中小微</w:t>
      </w:r>
      <w:r>
        <w:rPr>
          <w:rFonts w:cs="宋体" w:asciiTheme="minorEastAsia" w:hAnsiTheme="minorEastAsia" w:eastAsiaTheme="minorEastAsia"/>
          <w:color w:val="auto"/>
          <w:spacing w:val="18"/>
          <w:sz w:val="24"/>
          <w:highlight w:val="none"/>
        </w:rPr>
        <w:t xml:space="preserve">型企业</w:t>
      </w:r>
      <w:r>
        <w:rPr>
          <w:rFonts w:cs="宋体" w:asciiTheme="minorEastAsia" w:hAnsiTheme="minorEastAsia" w:eastAsiaTheme="minorEastAsia"/>
          <w:color w:val="auto"/>
          <w:spacing w:val="12"/>
          <w:sz w:val="24"/>
          <w:highlight w:val="none"/>
        </w:rPr>
        <w:t xml:space="preserve">的</w:t>
      </w:r>
      <w:r>
        <w:rPr>
          <w:rFonts w:cs="宋体" w:asciiTheme="minorEastAsia" w:hAnsiTheme="minorEastAsia" w:eastAsiaTheme="minorEastAsia"/>
          <w:color w:val="auto"/>
          <w:spacing w:val="9"/>
          <w:sz w:val="24"/>
          <w:highlight w:val="none"/>
        </w:rPr>
        <w:t xml:space="preserve">统计分类。国务院有关部门据此进行相关数据分析，不得制定与本规定不一致的企</w:t>
      </w:r>
      <w:r>
        <w:rPr>
          <w:rFonts w:cs="宋体" w:asciiTheme="minorEastAsia" w:hAnsiTheme="minorEastAsia" w:eastAsiaTheme="minorEastAsia"/>
          <w:color w:val="auto"/>
          <w:spacing w:val="7"/>
          <w:sz w:val="24"/>
          <w:highlight w:val="none"/>
        </w:rPr>
        <w:t xml:space="preserve">业划型标准</w:t>
      </w:r>
      <w:r>
        <w:rPr>
          <w:rFonts w:cs="宋体" w:asciiTheme="minorEastAsia" w:hAnsiTheme="minorEastAsia" w:eastAsiaTheme="minorEastAsia"/>
          <w:color w:val="auto"/>
          <w:spacing w:val="6"/>
          <w:sz w:val="24"/>
          <w:highlight w:val="none"/>
        </w:rPr>
        <w:t xml:space="preserve">。</w:t>
      </w:r>
      <w:r/>
    </w:p>
    <w:p>
      <w:pPr>
        <w:ind w:left="2" w:right="105" w:firstLine="1"/>
        <w:spacing w:before="134" w:line="289"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8"/>
          <w:sz w:val="24"/>
          <w:highlight w:val="none"/>
        </w:rPr>
        <w:t xml:space="preserve">八、</w:t>
      </w:r>
      <w:r>
        <w:rPr>
          <w:rFonts w:cs="宋体" w:asciiTheme="minorEastAsia" w:hAnsiTheme="minorEastAsia" w:eastAsiaTheme="minorEastAsia"/>
          <w:color w:val="auto"/>
          <w:spacing w:val="17"/>
          <w:sz w:val="24"/>
          <w:highlight w:val="none"/>
        </w:rPr>
        <w:t xml:space="preserve">本</w:t>
      </w:r>
      <w:r>
        <w:rPr>
          <w:rFonts w:cs="宋体" w:asciiTheme="minorEastAsia" w:hAnsiTheme="minorEastAsia" w:eastAsiaTheme="minorEastAsia"/>
          <w:color w:val="auto"/>
          <w:spacing w:val="9"/>
          <w:sz w:val="24"/>
          <w:highlight w:val="none"/>
        </w:rPr>
        <w:t xml:space="preserve">规定由工业和信息化部、国家统计局会同有关部门根据《国民经济行业分类》修订情</w:t>
      </w:r>
      <w:r>
        <w:rPr>
          <w:rFonts w:cs="宋体" w:asciiTheme="minorEastAsia" w:hAnsiTheme="minorEastAsia" w:eastAsiaTheme="minorEastAsia"/>
          <w:color w:val="auto"/>
          <w:spacing w:val="15"/>
          <w:sz w:val="24"/>
          <w:highlight w:val="none"/>
        </w:rPr>
        <w:t xml:space="preserve">况</w:t>
      </w:r>
      <w:r>
        <w:rPr>
          <w:rFonts w:cs="宋体" w:asciiTheme="minorEastAsia" w:hAnsiTheme="minorEastAsia" w:eastAsiaTheme="minorEastAsia"/>
          <w:color w:val="auto"/>
          <w:spacing w:val="8"/>
          <w:sz w:val="24"/>
          <w:highlight w:val="none"/>
        </w:rPr>
        <w:t xml:space="preserve">和企业发展变化情况适时修订。</w:t>
      </w:r>
      <w:r/>
    </w:p>
    <w:p>
      <w:pPr>
        <w:ind w:left="5"/>
        <w:spacing w:before="132" w:line="231" w:lineRule="auto"/>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pacing w:val="14"/>
          <w:sz w:val="24"/>
          <w:highlight w:val="none"/>
        </w:rPr>
        <w:t xml:space="preserve">九</w:t>
      </w:r>
      <w:r>
        <w:rPr>
          <w:rFonts w:cs="宋体" w:asciiTheme="minorEastAsia" w:hAnsiTheme="minorEastAsia" w:eastAsiaTheme="minorEastAsia"/>
          <w:color w:val="auto"/>
          <w:spacing w:val="9"/>
          <w:sz w:val="24"/>
          <w:highlight w:val="none"/>
        </w:rPr>
        <w:t xml:space="preserve">、本规定由工业和信息化部、国家统计局会同有关部门负责解释。</w:t>
      </w:r>
      <w:r/>
    </w:p>
    <w:p>
      <w:pPr>
        <w:ind w:right="2"/>
        <w:spacing w:before="133" w:line="288" w:lineRule="auto"/>
        <w:widowControl/>
        <w:rPr>
          <w:rFonts w:cs="Arial" w:asciiTheme="minorEastAsia" w:hAnsiTheme="minorEastAsia" w:eastAsiaTheme="minorEastAsia"/>
          <w:color w:val="auto"/>
          <w:sz w:val="24"/>
          <w:highlight w:val="none"/>
        </w:rPr>
      </w:pPr>
      <w:r>
        <w:rPr>
          <w:rFonts w:cs="宋体" w:asciiTheme="minorEastAsia" w:hAnsiTheme="minorEastAsia" w:eastAsiaTheme="minorEastAsia"/>
          <w:color w:val="auto"/>
          <w:spacing w:val="12"/>
          <w:sz w:val="24"/>
          <w:highlight w:val="none"/>
        </w:rPr>
        <w:t xml:space="preserve">十、本规</w:t>
      </w:r>
      <w:r>
        <w:rPr>
          <w:rFonts w:cs="宋体" w:asciiTheme="minorEastAsia" w:hAnsiTheme="minorEastAsia" w:eastAsiaTheme="minorEastAsia"/>
          <w:color w:val="auto"/>
          <w:spacing w:val="10"/>
          <w:sz w:val="24"/>
          <w:highlight w:val="none"/>
        </w:rPr>
        <w:t xml:space="preserve">定</w:t>
      </w:r>
      <w:r>
        <w:rPr>
          <w:rFonts w:cs="宋体" w:asciiTheme="minorEastAsia" w:hAnsiTheme="minorEastAsia" w:eastAsiaTheme="minorEastAsia"/>
          <w:color w:val="auto"/>
          <w:spacing w:val="6"/>
          <w:sz w:val="24"/>
          <w:highlight w:val="none"/>
        </w:rPr>
        <w:t xml:space="preserve">自发布之日起执行，原国家经贸委、原国家计委、财政部和国家统计局2003 年颁</w:t>
      </w:r>
      <w:r>
        <w:rPr>
          <w:rFonts w:cs="宋体" w:asciiTheme="minorEastAsia" w:hAnsiTheme="minorEastAsia" w:eastAsiaTheme="minorEastAsia"/>
          <w:color w:val="auto"/>
          <w:spacing w:val="9"/>
          <w:sz w:val="24"/>
          <w:highlight w:val="none"/>
        </w:rPr>
        <w:t xml:space="preserve">布的《中小企业标准暂行规定》同时废止</w:t>
      </w:r>
      <w:r>
        <w:rPr>
          <w:rFonts w:cs="宋体" w:asciiTheme="minorEastAsia" w:hAnsiTheme="minorEastAsia" w:eastAsiaTheme="minorEastAsia"/>
          <w:color w:val="auto"/>
          <w:spacing w:val="7"/>
          <w:sz w:val="24"/>
          <w:highlight w:val="none"/>
        </w:rPr>
        <w:t xml:space="preserve">。</w:t>
      </w:r>
      <w:r/>
    </w:p>
    <w:p>
      <w:pPr>
        <w:jc w:val="left"/>
        <w:spacing w:line="560" w:lineRule="exact"/>
        <w:widowControl/>
        <w:rPr>
          <w:rFonts w:asciiTheme="minorEastAsia" w:hAnsiTheme="minorEastAsia" w:eastAsiaTheme="minorEastAsia" w:cstheme="minorBidi"/>
          <w:color w:val="auto"/>
          <w:spacing w:val="6"/>
          <w:sz w:val="28"/>
          <w:szCs w:val="28"/>
          <w:highlight w:val="none"/>
        </w:rPr>
      </w:pPr>
      <w:r>
        <w:rPr>
          <w:rFonts w:asciiTheme="minorEastAsia" w:hAnsiTheme="minorEastAsia" w:eastAsiaTheme="minorEastAsia" w:cstheme="minorBidi"/>
          <w:color w:val="auto"/>
          <w:spacing w:val="6"/>
          <w:sz w:val="28"/>
          <w:szCs w:val="28"/>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widowControl/>
        <w:rPr>
          <w:rFonts w:hint="eastAsia" w:ascii="宋体" w:hAnsi="宋体" w:eastAsia="宋体" w:cs="宋体"/>
          <w:color w:val="auto"/>
          <w:spacing w:val="6"/>
          <w:sz w:val="28"/>
          <w:szCs w:val="28"/>
          <w:highlight w:val="none"/>
        </w:rPr>
        <w:outlineLvl w:val="2"/>
      </w:pPr>
      <w:r>
        <w:rPr>
          <w:rFonts w:hint="eastAsia" w:asciiTheme="minorEastAsia" w:hAnsiTheme="minorEastAsia" w:eastAsiaTheme="minorEastAsia"/>
          <w:b/>
          <w:color w:val="auto"/>
          <w:sz w:val="32"/>
          <w:szCs w:val="32"/>
          <w:highlight w:val="none"/>
          <w:lang w:eastAsia="zh-CN"/>
        </w:rPr>
        <w:t xml:space="preserve">（二）</w:t>
      </w:r>
      <w:r>
        <w:rPr>
          <w:rFonts w:hint="eastAsia" w:ascii="宋体" w:hAnsi="宋体" w:eastAsia="宋体" w:cs="宋体"/>
          <w:b/>
          <w:color w:val="auto"/>
          <w:sz w:val="28"/>
          <w:szCs w:val="28"/>
          <w:highlight w:val="none"/>
        </w:rPr>
        <w:t xml:space="preserve">残疾人福利性单位声明函（可选）</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6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宋体" w:hAnsi="宋体" w:eastAsia="宋体" w:cs="宋体"/>
          <w:color w:val="auto"/>
          <w:spacing w:val="6"/>
          <w:sz w:val="24"/>
          <w:highlight w:val="none"/>
          <w:u w:val="single"/>
        </w:rPr>
        <w:t xml:space="preserve">（采购单位名称）    </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   （项目名称）           </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jc w:val="righ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单位名称（盖章）：</w:t>
      </w:r>
      <w:r/>
    </w:p>
    <w:p>
      <w:pPr>
        <w:pStyle w:val="766"/>
        <w:ind w:firstLine="0"/>
        <w:jc w:val="center"/>
        <w:spacing w:line="560" w:lineRule="exact"/>
        <w:rPr>
          <w:rFonts w:hint="eastAsia" w:asciiTheme="minorEastAsia" w:hAnsiTheme="minorEastAsia" w:eastAsiaTheme="minorEastAsia"/>
          <w:b/>
          <w:color w:val="auto"/>
          <w:sz w:val="32"/>
          <w:szCs w:val="32"/>
          <w:highlight w:val="none"/>
          <w:lang w:eastAsia="zh-CN"/>
        </w:rPr>
      </w:pP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日</w:t>
      </w:r>
      <w:r>
        <w:rPr>
          <w:rFonts w:hint="eastAsia" w:ascii="宋体" w:hAnsi="宋体" w:eastAsia="宋体" w:cs="宋体"/>
          <w:color w:val="auto"/>
          <w:spacing w:val="6"/>
          <w:sz w:val="24"/>
          <w:highlight w:val="none"/>
        </w:rPr>
        <w:tab/>
      </w:r>
      <w:r>
        <w:rPr>
          <w:rFonts w:hint="eastAsia" w:ascii="宋体" w:hAnsi="宋体" w:eastAsia="宋体" w:cs="宋体"/>
          <w:color w:val="auto"/>
          <w:spacing w:val="6"/>
          <w:sz w:val="24"/>
          <w:highlight w:val="none"/>
        </w:rPr>
        <w:t xml:space="preserve">期：</w:t>
      </w:r>
      <w:r/>
    </w:p>
    <w:p>
      <w:pPr>
        <w:pStyle w:val="766"/>
        <w:ind w:firstLine="0"/>
        <w:jc w:val="center"/>
        <w:spacing w:line="560" w:lineRule="exact"/>
        <w:rPr>
          <w:rFonts w:hint="eastAsia" w:asciiTheme="minorEastAsia" w:hAnsiTheme="minorEastAsia" w:eastAsiaTheme="minorEastAsia"/>
          <w:b/>
          <w:color w:val="auto"/>
          <w:sz w:val="32"/>
          <w:szCs w:val="32"/>
          <w:highlight w:val="none"/>
          <w:lang w:eastAsia="zh-CN"/>
        </w:rPr>
        <w:sectPr>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b/>
          <w:color w:val="auto"/>
          <w:sz w:val="32"/>
          <w:szCs w:val="32"/>
          <w:highlight w:val="none"/>
          <w:lang w:eastAsia="zh-CN"/>
        </w:rPr>
      </w:r>
      <w:r/>
    </w:p>
    <w:p>
      <w:pPr>
        <w:pStyle w:val="766"/>
        <w:ind w:firstLine="0"/>
        <w:jc w:val="center"/>
        <w:spacing w:line="560" w:lineRule="exact"/>
        <w:rPr>
          <w:rFonts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三</w:t>
      </w:r>
      <w:r>
        <w:rPr>
          <w:rFonts w:hint="eastAsia" w:asciiTheme="minorEastAsia" w:hAnsiTheme="minorEastAsia" w:eastAsiaTheme="minorEastAsia"/>
          <w:b/>
          <w:color w:val="auto"/>
          <w:sz w:val="32"/>
          <w:szCs w:val="32"/>
          <w:highlight w:val="none"/>
          <w:lang w:eastAsia="zh-CN"/>
        </w:rPr>
        <w:t xml:space="preserve">）关于符合本国产品标准的声明函</w:t>
      </w:r>
      <w:r/>
    </w:p>
    <w:p>
      <w:pPr>
        <w:ind w:firstLine="480"/>
        <w:jc w:val="left"/>
        <w:spacing w:line="520" w:lineRule="exact"/>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ind w:firstLine="480"/>
        <w:jc w:val="left"/>
        <w:spacing w:line="520" w:lineRule="exact"/>
        <w:widowControl/>
        <w:rPr>
          <w:rFonts w:asciiTheme="minorEastAsia" w:hAnsiTheme="minorEastAsia" w:eastAsiaTheme="minorEastAsia"/>
          <w:color w:val="auto"/>
          <w:sz w:val="24"/>
          <w:szCs w:val="32"/>
          <w:highlight w:val="none"/>
        </w:rPr>
      </w:pPr>
      <w:r>
        <w:rPr>
          <w:rFonts w:hint="eastAsia" w:asciiTheme="minorEastAsia" w:hAnsiTheme="minorEastAsia" w:eastAsiaTheme="minorEastAsia"/>
          <w:color w:val="auto"/>
          <w:sz w:val="24"/>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mc:AlternateContent>
          <mc:Choice Requires="wpg">
            <w:drawing>
              <wp:inline xmlns:wp="http://schemas.openxmlformats.org/drawingml/2006/wordprocessingDrawing" distT="0" distB="0" distL="0" distR="0">
                <wp:extent cx="5274310" cy="1457960"/>
                <wp:effectExtent l="19050" t="0" r="2540" b="0"/>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r/>
                      </pic:nvPicPr>
                      <pic:blipFill>
                        <a:blip r:embed="rId16"/>
                        <a:stretch/>
                      </pic:blipFill>
                      <pic:spPr bwMode="auto">
                        <a:xfrm>
                          <a:off x="0" y="0"/>
                          <a:ext cx="5274310" cy="1458587"/>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114.8pt;mso-wrap-distance-left:0.0pt;mso-wrap-distance-top:0.0pt;mso-wrap-distance-right:0.0pt;mso-wrap-distance-bottom:0.0pt;" stroked="f" strokeweight="0.75pt">
                <v:path textboxrect="0,0,0,0"/>
                <v:imagedata r:id="rId16" o:title=""/>
              </v:shape>
            </w:pict>
          </mc:Fallback>
        </mc:AlternateContent>
      </w:r>
      <w:r/>
    </w:p>
    <w:p>
      <w:pPr>
        <w:ind w:firstLine="480"/>
        <w:jc w:val="left"/>
        <w:spacing w:line="52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本公司（单位）对上述声明内容的真实性负责。如有虚假，愿承担相应法律责任。</w:t>
      </w:r>
      <w:r/>
    </w:p>
    <w:p>
      <w:pPr>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投标人名称（盖章）：</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  期：</w:t>
      </w:r>
      <w:r/>
    </w:p>
    <w:p>
      <w:pPr>
        <w:ind w:firstLine="480"/>
        <w:jc w:val="left"/>
        <w:spacing w:line="52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1.产品如有型号，请在“产品名称”栏一并填写。</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2.生产厂名与厂址应与生产厂营业执照载明的相关信息保持一致。</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3.该产品的中国境内生产的组件成本占比相关要求实施前，“规定比例”栏可不填，下同。</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4.该产品的关键组件要求实施前，“关键组件”栏可不填，下同。</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5.该产品的关键工序要求实施前，“关键工序”栏可不填，下同。</w:t>
      </w:r>
      <w:r/>
    </w:p>
    <w:p>
      <w:pPr>
        <w:ind w:firstLine="480"/>
        <w:jc w:val="left"/>
        <w:spacing w:line="52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6.用斜线划除的地方无需填写。</w:t>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jc w:val="center"/>
        <w:widowControl/>
        <w:rPr>
          <w:rFonts w:asciiTheme="minorEastAsia" w:hAnsiTheme="minorEastAsia" w:eastAsiaTheme="minorEastAsia"/>
          <w:color w:val="auto"/>
          <w:sz w:val="24"/>
          <w:szCs w:val="32"/>
          <w:highlight w:val="none"/>
        </w:rPr>
      </w:pPr>
      <w:r>
        <w:rPr>
          <w:rFonts w:asciiTheme="minorEastAsia" w:hAnsiTheme="minorEastAsia" w:eastAsiaTheme="minorEastAsia"/>
          <w:color w:val="auto"/>
          <w:sz w:val="24"/>
          <w:szCs w:val="32"/>
          <w:highlight w:val="none"/>
        </w:rPr>
      </w:r>
      <w:r/>
    </w:p>
    <w:p>
      <w:pPr>
        <w:pStyle w:val="766"/>
        <w:ind w:firstLine="0"/>
        <w:jc w:val="center"/>
        <w:spacing w:line="560" w:lineRule="exact"/>
        <w:rPr>
          <w:rFonts w:asciiTheme="minorEastAsia" w:hAnsiTheme="minorEastAsia" w:eastAsiaTheme="minorEastAsia"/>
          <w:b/>
          <w:color w:val="auto"/>
          <w:sz w:val="32"/>
          <w:szCs w:val="32"/>
          <w:highlight w:val="none"/>
          <w:lang w:eastAsia="zh-CN"/>
        </w:rPr>
      </w:pP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四</w:t>
      </w:r>
      <w:r>
        <w:rPr>
          <w:rFonts w:hint="eastAsia" w:asciiTheme="minorEastAsia" w:hAnsiTheme="minorEastAsia" w:eastAsiaTheme="minorEastAsia"/>
          <w:b/>
          <w:color w:val="auto"/>
          <w:sz w:val="32"/>
          <w:szCs w:val="32"/>
          <w:highlight w:val="none"/>
          <w:lang w:eastAsia="zh-CN"/>
        </w:rPr>
        <w:t xml:space="preserve">）按招标文件要求投标人所能提供的</w:t>
      </w:r>
      <w:r>
        <w:rPr>
          <w:rFonts w:asciiTheme="minorEastAsia" w:hAnsiTheme="minorEastAsia" w:eastAsiaTheme="minorEastAsia"/>
          <w:b/>
          <w:color w:val="auto"/>
          <w:sz w:val="32"/>
          <w:szCs w:val="32"/>
          <w:highlight w:val="none"/>
          <w:lang w:eastAsia="zh-CN"/>
        </w:rPr>
        <w:t xml:space="preserve">其他文件</w:t>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right="1280"/>
        <w:spacing w:line="360" w:lineRule="auto"/>
        <w:widowControl/>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29</w:t>
    </w:r>
    <w:r>
      <w:rPr>
        <w:lang w:val="zh-CN"/>
      </w:rPr>
      <w:fldChar w:fldCharType="end"/>
    </w:r>
    <w:r/>
  </w:p>
  <w:p>
    <w:pPr>
      <w:pStyle w:val="78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Pr>
        <w:rFonts w:hint="eastAsia"/>
      </w:rPr>
      <w:fldChar w:fldCharType="begin"/>
    </w:r>
    <w:r>
      <w:instrText xml:space="preserve"> PAGE   \* MERGEFORMAT </w:instrText>
    </w:r>
    <w:r>
      <w:rPr>
        <w:rFonts w:hint="eastAsia"/>
      </w:rPr>
      <w:fldChar w:fldCharType="separate"/>
    </w:r>
    <w:r>
      <w:rPr>
        <w:lang w:val="zh-CN"/>
      </w:rPr>
      <w:t xml:space="preserve">201</w:t>
    </w:r>
    <w:r>
      <w:rPr>
        <w:rFonts w:hint="eastAsia"/>
        <w:lang w:val="zh-CN"/>
      </w:rPr>
      <w:fldChar w:fldCharType="end"/>
    </w:r>
    <w:r/>
  </w:p>
  <w:p>
    <w:pPr>
      <w:pStyle w:val="10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rPr>
        <w:rStyle w:val="904"/>
      </w:rPr>
      <w:instrText xml:space="preserve"> PAGE </w:instrText>
    </w:r>
    <w:r>
      <w:fldChar w:fldCharType="separate"/>
    </w:r>
    <w:r>
      <w:rPr>
        <w:rStyle w:val="904"/>
      </w:rPr>
      <w:t xml:space="preserve">30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rPr>
        <w:rStyle w:val="904"/>
      </w:rPr>
      <w:instrText xml:space="preserve"> PAGE </w:instrText>
    </w:r>
    <w:r>
      <w:fldChar w:fldCharType="separate"/>
    </w:r>
    <w:r>
      <w:rPr>
        <w:rStyle w:val="904"/>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fldChar w:fldCharType="begin"/>
    </w:r>
    <w:r>
      <w:rPr>
        <w:rStyle w:val="904"/>
      </w:rPr>
      <w:instrText xml:space="preserve"> PAGE </w:instrText>
    </w:r>
    <w:r>
      <w:fldChar w:fldCharType="separate"/>
    </w:r>
    <w:r>
      <w:rPr>
        <w:rStyle w:val="90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miter/>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TOC Heading"/>
    <w:uiPriority w:val="39"/>
    <w:unhideWhenUsed/>
  </w:style>
  <w:style w:type="paragraph" w:styleId="753" w:default="1">
    <w:name w:val="Normal"/>
    <w:next w:val="765"/>
    <w:link w:val="1401"/>
    <w:uiPriority w:val="0"/>
    <w:qFormat/>
    <w:pPr>
      <w:jc w:val="both"/>
      <w:widowControl w:val="off"/>
    </w:pPr>
    <w:rPr>
      <w:rFonts w:ascii="Times New Roman" w:hAnsi="Times New Roman" w:eastAsia="宋体" w:cs="Times New Roman"/>
      <w:sz w:val="21"/>
      <w:szCs w:val="24"/>
      <w:lang w:val="en-US" w:eastAsia="zh-CN" w:bidi="ar-SA"/>
    </w:rPr>
  </w:style>
  <w:style w:type="paragraph" w:styleId="754">
    <w:name w:val="Heading 1"/>
    <w:basedOn w:val="753"/>
    <w:next w:val="753"/>
    <w:link w:val="1064"/>
    <w:uiPriority w:val="0"/>
    <w:qFormat/>
    <w:pPr>
      <w:keepNext/>
      <w:outlineLvl w:val="0"/>
    </w:pPr>
    <w:rPr>
      <w:rFonts w:ascii="楷体_GB2312" w:eastAsia="楷体_GB2312"/>
      <w:sz w:val="28"/>
      <w:szCs w:val="20"/>
      <w:lang w:eastAsia="en-US"/>
    </w:rPr>
  </w:style>
  <w:style w:type="paragraph" w:styleId="755">
    <w:name w:val="Heading 2"/>
    <w:basedOn w:val="753"/>
    <w:next w:val="753"/>
    <w:link w:val="818"/>
    <w:uiPriority w:val="0"/>
    <w:qFormat/>
    <w:pPr>
      <w:jc w:val="center"/>
      <w:keepLines/>
      <w:keepNext/>
      <w:spacing w:before="260" w:after="260" w:line="416" w:lineRule="auto"/>
      <w:outlineLvl w:val="1"/>
    </w:pPr>
    <w:rPr>
      <w:rFonts w:ascii="幼圆" w:hAnsi="Arial" w:eastAsia="楷体_GB2312"/>
      <w:b/>
      <w:sz w:val="44"/>
      <w:szCs w:val="20"/>
    </w:rPr>
  </w:style>
  <w:style w:type="paragraph" w:styleId="756">
    <w:name w:val="Heading 3"/>
    <w:basedOn w:val="753"/>
    <w:next w:val="766"/>
    <w:link w:val="1065"/>
    <w:uiPriority w:val="9"/>
    <w:qFormat/>
    <w:pPr>
      <w:keepLines/>
      <w:keepNext/>
      <w:spacing w:before="260" w:after="260" w:line="416" w:lineRule="auto"/>
      <w:outlineLvl w:val="2"/>
    </w:pPr>
    <w:rPr>
      <w:b/>
      <w:sz w:val="32"/>
      <w:szCs w:val="20"/>
      <w:lang w:eastAsia="en-US"/>
    </w:rPr>
  </w:style>
  <w:style w:type="paragraph" w:styleId="757">
    <w:name w:val="Heading 4"/>
    <w:basedOn w:val="753"/>
    <w:next w:val="753"/>
    <w:link w:val="1066"/>
    <w:uiPriority w:val="9"/>
    <w:qFormat/>
    <w:pPr>
      <w:keepLines/>
      <w:keepNext/>
      <w:spacing w:before="280" w:after="290" w:line="376" w:lineRule="auto"/>
      <w:outlineLvl w:val="3"/>
    </w:pPr>
    <w:rPr>
      <w:rFonts w:ascii="Arial" w:hAnsi="Arial" w:eastAsia="黑体"/>
      <w:b/>
      <w:bCs/>
      <w:sz w:val="28"/>
      <w:szCs w:val="28"/>
      <w:lang w:eastAsia="en-US"/>
    </w:rPr>
  </w:style>
  <w:style w:type="paragraph" w:styleId="758">
    <w:name w:val="Heading 5"/>
    <w:basedOn w:val="753"/>
    <w:next w:val="766"/>
    <w:link w:val="1067"/>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59">
    <w:name w:val="Heading 6"/>
    <w:basedOn w:val="753"/>
    <w:next w:val="766"/>
    <w:link w:val="106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60">
    <w:name w:val="Heading 7"/>
    <w:basedOn w:val="753"/>
    <w:next w:val="766"/>
    <w:link w:val="106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61">
    <w:name w:val="Heading 8"/>
    <w:basedOn w:val="753"/>
    <w:next w:val="766"/>
    <w:link w:val="107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62">
    <w:name w:val="Heading 9"/>
    <w:basedOn w:val="753"/>
    <w:next w:val="766"/>
    <w:link w:val="107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w:basedOn w:val="753"/>
    <w:link w:val="2357"/>
    <w:uiPriority w:val="0"/>
    <w:qFormat/>
    <w:pPr>
      <w:spacing w:after="120"/>
    </w:pPr>
  </w:style>
  <w:style w:type="paragraph" w:styleId="766" w:customStyle="1">
    <w:name w:val="正文缩进11"/>
    <w:basedOn w:val="753"/>
    <w:link w:val="826"/>
    <w:uiPriority w:val="0"/>
    <w:unhideWhenUsed/>
    <w:qFormat/>
    <w:pPr>
      <w:ind w:firstLine="420"/>
    </w:pPr>
    <w:rPr>
      <w:sz w:val="20"/>
      <w:lang w:eastAsia="en-US"/>
    </w:rPr>
  </w:style>
  <w:style w:type="paragraph" w:styleId="767">
    <w:name w:val="toc 7"/>
    <w:basedOn w:val="753"/>
    <w:next w:val="753"/>
    <w:uiPriority w:val="39"/>
    <w:unhideWhenUsed/>
    <w:qFormat/>
    <w:pPr>
      <w:ind w:left="1701"/>
      <w:spacing w:after="57"/>
    </w:pPr>
  </w:style>
  <w:style w:type="paragraph" w:styleId="768">
    <w:name w:val="Normal Indent"/>
    <w:basedOn w:val="753"/>
    <w:uiPriority w:val="0"/>
    <w:unhideWhenUsed/>
    <w:qFormat/>
    <w:pPr>
      <w:ind w:firstLine="420"/>
    </w:pPr>
  </w:style>
  <w:style w:type="paragraph" w:styleId="769">
    <w:name w:val="Caption"/>
    <w:basedOn w:val="753"/>
    <w:next w:val="753"/>
    <w:uiPriority w:val="35"/>
    <w:semiHidden/>
    <w:unhideWhenUsed/>
    <w:qFormat/>
    <w:pPr>
      <w:spacing w:line="276" w:lineRule="auto"/>
    </w:pPr>
    <w:rPr>
      <w:b/>
      <w:bCs/>
      <w:color w:val="4f81bd" w:themeColor="accent1"/>
      <w:sz w:val="18"/>
      <w:szCs w:val="18"/>
    </w:rPr>
  </w:style>
  <w:style w:type="paragraph" w:styleId="770">
    <w:name w:val="Document Map"/>
    <w:basedOn w:val="753"/>
    <w:link w:val="2352"/>
    <w:uiPriority w:val="99"/>
    <w:unhideWhenUsed/>
    <w:qFormat/>
    <w:rPr>
      <w:rFonts w:ascii="宋体"/>
      <w:sz w:val="18"/>
      <w:szCs w:val="18"/>
    </w:rPr>
  </w:style>
  <w:style w:type="paragraph" w:styleId="771">
    <w:name w:val="annotation text"/>
    <w:basedOn w:val="753"/>
    <w:link w:val="2354"/>
    <w:uiPriority w:val="99"/>
    <w:unhideWhenUsed/>
    <w:qFormat/>
    <w:pPr>
      <w:jc w:val="left"/>
    </w:pPr>
  </w:style>
  <w:style w:type="paragraph" w:styleId="772">
    <w:name w:val="Block Text"/>
    <w:basedOn w:val="753"/>
    <w:uiPriority w:val="0"/>
    <w:qFormat/>
    <w:pPr>
      <w:ind w:left="1440"/>
      <w:spacing w:after="120"/>
    </w:pPr>
    <w:rPr>
      <w:szCs w:val="22"/>
    </w:rPr>
  </w:style>
  <w:style w:type="paragraph" w:styleId="773">
    <w:name w:val="toc 5"/>
    <w:basedOn w:val="753"/>
    <w:next w:val="753"/>
    <w:uiPriority w:val="39"/>
    <w:unhideWhenUsed/>
    <w:qFormat/>
    <w:pPr>
      <w:ind w:left="1134"/>
      <w:spacing w:after="57"/>
    </w:pPr>
  </w:style>
  <w:style w:type="paragraph" w:styleId="774">
    <w:name w:val="toc 3"/>
    <w:basedOn w:val="753"/>
    <w:next w:val="753"/>
    <w:uiPriority w:val="39"/>
    <w:unhideWhenUsed/>
    <w:qFormat/>
    <w:pPr>
      <w:ind w:left="567"/>
      <w:spacing w:after="57"/>
    </w:pPr>
  </w:style>
  <w:style w:type="paragraph" w:styleId="775">
    <w:name w:val="Plain Text"/>
    <w:basedOn w:val="753"/>
    <w:uiPriority w:val="0"/>
    <w:qFormat/>
    <w:pPr>
      <w:jc w:val="left"/>
      <w:widowControl/>
    </w:pPr>
    <w:rPr>
      <w:rFonts w:ascii="宋体" w:hAnsi="Courier New"/>
    </w:rPr>
  </w:style>
  <w:style w:type="paragraph" w:styleId="776">
    <w:name w:val="toc 8"/>
    <w:basedOn w:val="753"/>
    <w:next w:val="753"/>
    <w:uiPriority w:val="39"/>
    <w:unhideWhenUsed/>
    <w:qFormat/>
    <w:pPr>
      <w:ind w:left="1984"/>
      <w:spacing w:after="57"/>
    </w:pPr>
  </w:style>
  <w:style w:type="paragraph" w:styleId="777">
    <w:name w:val="Date"/>
    <w:basedOn w:val="753"/>
    <w:next w:val="753"/>
    <w:link w:val="2355"/>
    <w:uiPriority w:val="99"/>
    <w:qFormat/>
    <w:pPr>
      <w:ind w:left="100"/>
    </w:pPr>
  </w:style>
  <w:style w:type="paragraph" w:styleId="778">
    <w:name w:val="endnote text"/>
    <w:basedOn w:val="753"/>
    <w:uiPriority w:val="99"/>
    <w:semiHidden/>
    <w:unhideWhenUsed/>
    <w:qFormat/>
    <w:rPr>
      <w:sz w:val="20"/>
    </w:rPr>
  </w:style>
  <w:style w:type="paragraph" w:styleId="779">
    <w:name w:val="Balloon Text"/>
    <w:basedOn w:val="753"/>
    <w:link w:val="2353"/>
    <w:uiPriority w:val="99"/>
    <w:semiHidden/>
    <w:qFormat/>
    <w:rPr>
      <w:sz w:val="18"/>
      <w:szCs w:val="18"/>
    </w:rPr>
  </w:style>
  <w:style w:type="paragraph" w:styleId="780">
    <w:name w:val="Footer"/>
    <w:basedOn w:val="753"/>
    <w:uiPriority w:val="99"/>
    <w:unhideWhenUsed/>
    <w:qFormat/>
    <w:pPr>
      <w:tabs>
        <w:tab w:val="center" w:pos="7143" w:leader="none"/>
        <w:tab w:val="right" w:pos="14287" w:leader="none"/>
      </w:tabs>
    </w:pPr>
  </w:style>
  <w:style w:type="paragraph" w:styleId="781">
    <w:name w:val="Header"/>
    <w:basedOn w:val="753"/>
    <w:uiPriority w:val="99"/>
    <w:unhideWhenUsed/>
    <w:qFormat/>
    <w:pPr>
      <w:tabs>
        <w:tab w:val="center" w:pos="7143" w:leader="none"/>
        <w:tab w:val="right" w:pos="14287" w:leader="none"/>
      </w:tabs>
    </w:pPr>
  </w:style>
  <w:style w:type="paragraph" w:styleId="782">
    <w:name w:val="toc 1"/>
    <w:basedOn w:val="753"/>
    <w:next w:val="753"/>
    <w:uiPriority w:val="39"/>
    <w:unhideWhenUsed/>
    <w:qFormat/>
    <w:pPr>
      <w:spacing w:after="57"/>
    </w:pPr>
  </w:style>
  <w:style w:type="paragraph" w:styleId="783">
    <w:name w:val="toc 4"/>
    <w:basedOn w:val="753"/>
    <w:next w:val="753"/>
    <w:uiPriority w:val="39"/>
    <w:unhideWhenUsed/>
    <w:qFormat/>
    <w:pPr>
      <w:ind w:left="850"/>
      <w:spacing w:after="57"/>
    </w:pPr>
  </w:style>
  <w:style w:type="paragraph" w:styleId="784">
    <w:name w:val="Subtitle"/>
    <w:basedOn w:val="753"/>
    <w:next w:val="753"/>
    <w:uiPriority w:val="11"/>
    <w:qFormat/>
    <w:pPr>
      <w:spacing w:before="200" w:after="200"/>
    </w:pPr>
    <w:rPr>
      <w:sz w:val="24"/>
    </w:rPr>
  </w:style>
  <w:style w:type="paragraph" w:styleId="785">
    <w:name w:val="footnote text"/>
    <w:basedOn w:val="753"/>
    <w:uiPriority w:val="99"/>
    <w:semiHidden/>
    <w:unhideWhenUsed/>
    <w:qFormat/>
    <w:pPr>
      <w:spacing w:after="40"/>
    </w:pPr>
    <w:rPr>
      <w:sz w:val="18"/>
    </w:rPr>
  </w:style>
  <w:style w:type="paragraph" w:styleId="786">
    <w:name w:val="toc 6"/>
    <w:basedOn w:val="753"/>
    <w:next w:val="753"/>
    <w:uiPriority w:val="39"/>
    <w:unhideWhenUsed/>
    <w:qFormat/>
    <w:pPr>
      <w:ind w:left="1417"/>
      <w:spacing w:after="57"/>
    </w:pPr>
  </w:style>
  <w:style w:type="paragraph" w:styleId="787">
    <w:name w:val="table of figures"/>
    <w:basedOn w:val="753"/>
    <w:next w:val="753"/>
    <w:uiPriority w:val="99"/>
    <w:unhideWhenUsed/>
    <w:qFormat/>
  </w:style>
  <w:style w:type="paragraph" w:styleId="788">
    <w:name w:val="toc 2"/>
    <w:basedOn w:val="753"/>
    <w:next w:val="753"/>
    <w:uiPriority w:val="39"/>
    <w:unhideWhenUsed/>
    <w:qFormat/>
    <w:pPr>
      <w:ind w:left="283"/>
      <w:spacing w:after="57"/>
    </w:pPr>
  </w:style>
  <w:style w:type="paragraph" w:styleId="789">
    <w:name w:val="toc 9"/>
    <w:basedOn w:val="753"/>
    <w:next w:val="753"/>
    <w:uiPriority w:val="39"/>
    <w:unhideWhenUsed/>
    <w:qFormat/>
    <w:pPr>
      <w:ind w:left="2268"/>
      <w:spacing w:after="57"/>
    </w:pPr>
  </w:style>
  <w:style w:type="paragraph" w:styleId="790">
    <w:name w:val="Normal (Web)"/>
    <w:basedOn w:val="753"/>
    <w:uiPriority w:val="99"/>
    <w:unhideWhenUsed/>
    <w:qFormat/>
    <w:pPr>
      <w:jc w:val="left"/>
      <w:widowControl/>
    </w:pPr>
    <w:rPr>
      <w:rFonts w:ascii="宋体" w:hAnsi="宋体" w:cs="宋体"/>
      <w:sz w:val="24"/>
    </w:rPr>
  </w:style>
  <w:style w:type="paragraph" w:styleId="791">
    <w:name w:val="Title"/>
    <w:basedOn w:val="753"/>
    <w:next w:val="753"/>
    <w:uiPriority w:val="10"/>
    <w:qFormat/>
    <w:pPr>
      <w:contextualSpacing/>
      <w:spacing w:before="300" w:after="200"/>
    </w:pPr>
    <w:rPr>
      <w:sz w:val="48"/>
      <w:szCs w:val="48"/>
    </w:rPr>
  </w:style>
  <w:style w:type="paragraph" w:styleId="792">
    <w:name w:val="Body Text First Indent"/>
    <w:basedOn w:val="765"/>
    <w:link w:val="2358"/>
    <w:uiPriority w:val="0"/>
    <w:qFormat/>
    <w:pPr>
      <w:ind w:firstLine="420"/>
    </w:pPr>
    <w:rPr>
      <w:rFonts w:ascii="Calibri" w:hAnsi="Calibri"/>
      <w:szCs w:val="22"/>
    </w:rPr>
  </w:style>
  <w:style w:type="table" w:styleId="7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uiPriority w:val="22"/>
    <w:qFormat/>
    <w:rPr>
      <w:b/>
      <w:bCs/>
    </w:rPr>
  </w:style>
  <w:style w:type="character" w:styleId="795">
    <w:name w:val="endnote reference"/>
    <w:uiPriority w:val="99"/>
    <w:semiHidden/>
    <w:unhideWhenUsed/>
    <w:qFormat/>
    <w:rPr>
      <w:vertAlign w:val="superscript"/>
    </w:rPr>
  </w:style>
  <w:style w:type="character" w:styleId="796">
    <w:name w:val="Emphasis"/>
    <w:uiPriority w:val="20"/>
    <w:qFormat/>
    <w:rPr>
      <w:i/>
      <w:iCs/>
    </w:rPr>
  </w:style>
  <w:style w:type="character" w:styleId="797">
    <w:name w:val="Hyperlink"/>
    <w:basedOn w:val="763"/>
    <w:uiPriority w:val="99"/>
    <w:unhideWhenUsed/>
    <w:qFormat/>
    <w:rPr>
      <w:color w:val="0000ff" w:themeColor="hyperlink"/>
      <w:u w:val="single"/>
    </w:rPr>
  </w:style>
  <w:style w:type="character" w:styleId="798">
    <w:name w:val="footnote reference"/>
    <w:uiPriority w:val="99"/>
    <w:unhideWhenUsed/>
    <w:qFormat/>
    <w:rPr>
      <w:vertAlign w:val="superscript"/>
    </w:rPr>
  </w:style>
  <w:style w:type="character" w:styleId="799" w:customStyle="1">
    <w:name w:val="Quote Char"/>
    <w:uiPriority w:val="29"/>
    <w:qFormat/>
    <w:rPr>
      <w:i/>
    </w:rPr>
  </w:style>
  <w:style w:type="character" w:styleId="800" w:customStyle="1">
    <w:name w:val="Intense Quote Char"/>
    <w:uiPriority w:val="30"/>
    <w:qFormat/>
    <w:rPr>
      <w:i/>
    </w:rPr>
  </w:style>
  <w:style w:type="paragraph" w:styleId="801" w:customStyle="1">
    <w:name w:val="TOC 标题1"/>
    <w:uiPriority w:val="39"/>
    <w:unhideWhenUsed/>
    <w:qFormat/>
    <w:rPr>
      <w:rFonts w:ascii="Times New Roman" w:hAnsi="Times New Roman" w:eastAsia="宋体" w:cs="Times New Roman"/>
      <w:lang w:val="en-US" w:eastAsia="zh-CN" w:bidi="ar-SA"/>
    </w:rPr>
  </w:style>
  <w:style w:type="paragraph" w:styleId="802" w:customStyle="1">
    <w:name w:val="索引 41"/>
    <w:basedOn w:val="753"/>
    <w:next w:val="753"/>
    <w:uiPriority w:val="0"/>
    <w:unhideWhenUsed/>
    <w:qFormat/>
    <w:pPr>
      <w:ind w:left="600"/>
    </w:pPr>
  </w:style>
  <w:style w:type="paragraph" w:styleId="803">
    <w:name w:val="List Paragraph"/>
    <w:basedOn w:val="753"/>
    <w:uiPriority w:val="34"/>
    <w:qFormat/>
    <w:pPr>
      <w:contextualSpacing/>
      <w:ind w:left="720"/>
    </w:pPr>
  </w:style>
  <w:style w:type="paragraph" w:styleId="804" w:customStyle="1">
    <w:name w:val="首行缩进"/>
    <w:basedOn w:val="753"/>
    <w:uiPriority w:val="0"/>
    <w:qFormat/>
    <w:pPr>
      <w:ind w:firstLine="480"/>
    </w:pPr>
    <w:rPr>
      <w:lang w:val="zh-CN"/>
    </w:rPr>
  </w:style>
  <w:style w:type="paragraph" w:styleId="805" w:customStyle="1">
    <w:name w:val="正文1"/>
    <w:basedOn w:val="753"/>
    <w:next w:val="806"/>
    <w:uiPriority w:val="0"/>
    <w:qFormat/>
    <w:pPr>
      <w:jc w:val="left"/>
      <w:spacing w:line="360" w:lineRule="atLeast"/>
    </w:pPr>
    <w:rPr>
      <w:rFonts w:ascii="宋体" w:hAnsi="Calibri"/>
      <w:sz w:val="24"/>
      <w:szCs w:val="20"/>
    </w:rPr>
  </w:style>
  <w:style w:type="paragraph" w:styleId="806" w:customStyle="1">
    <w:name w:val="正文文本1"/>
    <w:basedOn w:val="753"/>
    <w:next w:val="753"/>
    <w:uiPriority w:val="0"/>
    <w:qFormat/>
    <w:pPr>
      <w:jc w:val="left"/>
      <w:spacing w:after="120" w:line="288" w:lineRule="auto"/>
      <w:widowControl/>
    </w:pPr>
    <w:rPr>
      <w:rFonts w:ascii="Verdana" w:hAnsi="Verdana"/>
      <w:sz w:val="24"/>
      <w:szCs w:val="20"/>
      <w:lang w:eastAsia="en-US"/>
    </w:rPr>
  </w:style>
  <w:style w:type="paragraph" w:styleId="807" w:customStyle="1">
    <w:name w:val="一级条标题"/>
    <w:basedOn w:val="808"/>
    <w:next w:val="809"/>
    <w:link w:val="1178"/>
    <w:uiPriority w:val="0"/>
    <w:qFormat/>
    <w:pPr>
      <w:ind w:left="420" w:hanging="420"/>
      <w:tabs>
        <w:tab w:val="left" w:pos="567" w:leader="none"/>
        <w:tab w:val="left" w:pos="780" w:leader="none"/>
      </w:tabs>
      <w:outlineLvl w:val="2"/>
    </w:pPr>
    <w:rPr>
      <w:lang w:eastAsia="en-US"/>
    </w:rPr>
  </w:style>
  <w:style w:type="paragraph" w:styleId="808" w:customStyle="1">
    <w:name w:val="章标题"/>
    <w:next w:val="753"/>
    <w:link w:val="1177"/>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809" w:customStyle="1">
    <w:name w:val="段"/>
    <w:next w:val="753"/>
    <w:uiPriority w:val="0"/>
    <w:qFormat/>
    <w:pPr>
      <w:ind w:firstLine="200"/>
      <w:jc w:val="both"/>
    </w:pPr>
    <w:rPr>
      <w:rFonts w:ascii="宋体" w:hAnsi="Times New Roman" w:eastAsia="宋体" w:cs="Times New Roman"/>
      <w:sz w:val="21"/>
      <w:lang w:val="en-US" w:eastAsia="zh-CN" w:bidi="ar-SA"/>
    </w:rPr>
  </w:style>
  <w:style w:type="paragraph" w:styleId="810">
    <w:name w:val="No Spacing"/>
    <w:uiPriority w:val="1"/>
    <w:qFormat/>
    <w:rPr>
      <w:rFonts w:ascii="Times New Roman" w:hAnsi="Times New Roman" w:eastAsia="宋体" w:cs="Times New Roman"/>
      <w:lang w:val="en-US" w:eastAsia="zh-CN" w:bidi="ar-SA"/>
    </w:rPr>
  </w:style>
  <w:style w:type="paragraph" w:styleId="811">
    <w:name w:val="Quote"/>
    <w:basedOn w:val="753"/>
    <w:next w:val="753"/>
    <w:link w:val="812"/>
    <w:uiPriority w:val="29"/>
    <w:qFormat/>
    <w:pPr>
      <w:ind w:left="720" w:right="720"/>
    </w:pPr>
    <w:rPr>
      <w:i/>
    </w:rPr>
  </w:style>
  <w:style w:type="character" w:styleId="812" w:customStyle="1">
    <w:name w:val="引用 Char4"/>
    <w:link w:val="811"/>
    <w:uiPriority w:val="29"/>
    <w:qFormat/>
    <w:rPr>
      <w:i/>
    </w:rPr>
  </w:style>
  <w:style w:type="paragraph" w:styleId="813">
    <w:name w:val="Intense Quote"/>
    <w:basedOn w:val="753"/>
    <w:next w:val="753"/>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2"/>
    <w:link w:val="813"/>
    <w:uiPriority w:val="30"/>
    <w:qFormat/>
    <w:rPr>
      <w:i/>
    </w:rPr>
  </w:style>
  <w:style w:type="paragraph" w:styleId="815" w:customStyle="1">
    <w:name w:val="TOC 标题1111"/>
    <w:uiPriority w:val="39"/>
    <w:unhideWhenUsed/>
    <w:qFormat/>
    <w:rPr>
      <w:rFonts w:ascii="Times New Roman" w:hAnsi="Times New Roman" w:eastAsia="宋体" w:cs="Times New Roman"/>
      <w:lang w:val="en-US" w:eastAsia="zh-CN" w:bidi="ar-SA"/>
    </w:rPr>
  </w:style>
  <w:style w:type="character" w:styleId="816" w:customStyle="1">
    <w:name w:val="默认段落字体11"/>
    <w:uiPriority w:val="1"/>
    <w:unhideWhenUsed/>
    <w:qFormat/>
  </w:style>
  <w:style w:type="table" w:styleId="817" w:customStyle="1">
    <w:name w:val="普通表格1"/>
    <w:uiPriority w:val="99"/>
    <w:unhideWhenUsed/>
    <w:qFormat/>
    <w:tblPr>
      <w:tblCellMar>
        <w:left w:w="0" w:type="dxa"/>
        <w:top w:w="0" w:type="dxa"/>
        <w:right w:w="0" w:type="dxa"/>
        <w:bottom w:w="0" w:type="dxa"/>
      </w:tblCellMar>
    </w:tblPr>
  </w:style>
  <w:style w:type="character" w:styleId="818" w:customStyle="1">
    <w:name w:val="标题 2 Char"/>
    <w:basedOn w:val="816"/>
    <w:link w:val="755"/>
    <w:uiPriority w:val="9"/>
    <w:qFormat/>
    <w:rPr>
      <w:rFonts w:ascii="幼圆" w:hAnsi="Arial" w:eastAsia="楷体_GB2312" w:cs="Times New Roman"/>
      <w:b/>
      <w:sz w:val="44"/>
      <w:szCs w:val="20"/>
    </w:rPr>
  </w:style>
  <w:style w:type="paragraph" w:styleId="819" w:customStyle="1">
    <w:name w:val="目录 71"/>
    <w:basedOn w:val="753"/>
    <w:next w:val="753"/>
    <w:uiPriority w:val="39"/>
    <w:unhideWhenUsed/>
    <w:qFormat/>
    <w:pPr>
      <w:ind w:left="1701"/>
      <w:spacing w:after="57"/>
    </w:pPr>
  </w:style>
  <w:style w:type="paragraph" w:styleId="820" w:customStyle="1">
    <w:name w:val="列表编号 21"/>
    <w:basedOn w:val="753"/>
    <w:uiPriority w:val="0"/>
    <w:unhideWhenUsed/>
    <w:qFormat/>
    <w:pPr>
      <w:ind w:left="425" w:hanging="425"/>
      <w:spacing w:line="300" w:lineRule="auto"/>
      <w:tabs>
        <w:tab w:val="left" w:pos="425" w:leader="none"/>
        <w:tab w:val="left" w:pos="567" w:leader="none"/>
      </w:tabs>
    </w:pPr>
    <w:rPr>
      <w:sz w:val="28"/>
      <w:szCs w:val="20"/>
    </w:rPr>
  </w:style>
  <w:style w:type="paragraph" w:styleId="821" w:customStyle="1">
    <w:name w:val="注释标题1"/>
    <w:basedOn w:val="753"/>
    <w:next w:val="753"/>
    <w:link w:val="822"/>
    <w:uiPriority w:val="0"/>
    <w:qFormat/>
    <w:pPr>
      <w:jc w:val="center"/>
    </w:pPr>
    <w:rPr>
      <w:rFonts w:ascii="等线" w:hAnsi="等线" w:eastAsia="Arial" w:cs="Arial"/>
    </w:rPr>
  </w:style>
  <w:style w:type="character" w:styleId="822" w:customStyle="1">
    <w:name w:val="注释标题 Char2"/>
    <w:basedOn w:val="816"/>
    <w:link w:val="821"/>
    <w:uiPriority w:val="99"/>
    <w:semiHidden/>
    <w:qFormat/>
    <w:rPr>
      <w:rFonts w:ascii="Times New Roman" w:hAnsi="Times New Roman" w:eastAsia="宋体" w:cs="Times New Roman"/>
      <w:szCs w:val="24"/>
    </w:rPr>
  </w:style>
  <w:style w:type="paragraph" w:styleId="823" w:customStyle="1">
    <w:name w:val="索引 81"/>
    <w:basedOn w:val="753"/>
    <w:next w:val="753"/>
    <w:uiPriority w:val="0"/>
    <w:qFormat/>
    <w:pPr>
      <w:ind w:left="1680" w:hanging="210"/>
      <w:jc w:val="left"/>
    </w:pPr>
    <w:rPr>
      <w:rFonts w:ascii="Calibri" w:hAnsi="Calibri"/>
      <w:sz w:val="20"/>
      <w:szCs w:val="20"/>
    </w:rPr>
  </w:style>
  <w:style w:type="paragraph" w:styleId="824" w:customStyle="1">
    <w:name w:val="列表编号1"/>
    <w:basedOn w:val="825"/>
    <w:uiPriority w:val="0"/>
    <w:qFormat/>
    <w:pPr>
      <w:ind w:left="720" w:right="720" w:hanging="360"/>
      <w:spacing w:before="120" w:after="240" w:line="240" w:lineRule="atLeast"/>
      <w:widowControl/>
    </w:pPr>
    <w:rPr>
      <w:rFonts w:ascii="宋体" w:hAnsi="Garamond"/>
      <w:spacing w:val="-5"/>
      <w:sz w:val="24"/>
      <w:szCs w:val="20"/>
    </w:rPr>
  </w:style>
  <w:style w:type="paragraph" w:styleId="825" w:customStyle="1">
    <w:name w:val="列表11"/>
    <w:basedOn w:val="753"/>
    <w:uiPriority w:val="0"/>
    <w:qFormat/>
    <w:pPr>
      <w:ind w:left="200" w:hanging="200"/>
    </w:pPr>
  </w:style>
  <w:style w:type="character" w:styleId="826" w:customStyle="1">
    <w:name w:val="正文缩进 Char1"/>
    <w:link w:val="766"/>
    <w:uiPriority w:val="0"/>
    <w:qFormat/>
    <w:rPr>
      <w:rFonts w:ascii="Times New Roman" w:hAnsi="Times New Roman" w:eastAsia="宋体" w:cs="Times New Roman"/>
      <w:szCs w:val="24"/>
    </w:rPr>
  </w:style>
  <w:style w:type="paragraph" w:styleId="827" w:customStyle="1">
    <w:name w:val="索引 51"/>
    <w:basedOn w:val="753"/>
    <w:next w:val="753"/>
    <w:uiPriority w:val="0"/>
    <w:qFormat/>
    <w:pPr>
      <w:ind w:left="1050" w:hanging="210"/>
      <w:jc w:val="left"/>
    </w:pPr>
    <w:rPr>
      <w:rFonts w:ascii="Calibri" w:hAnsi="Calibri"/>
      <w:sz w:val="20"/>
      <w:szCs w:val="20"/>
    </w:rPr>
  </w:style>
  <w:style w:type="paragraph" w:styleId="828" w:customStyle="1">
    <w:name w:val="列表项目符号1"/>
    <w:basedOn w:val="753"/>
    <w:uiPriority w:val="99"/>
    <w:unhideWhenUsed/>
    <w:qFormat/>
    <w:pPr>
      <w:contextualSpacing/>
      <w:ind w:left="1236" w:hanging="1236"/>
      <w:tabs>
        <w:tab w:val="left" w:pos="360" w:leader="none"/>
      </w:tabs>
    </w:pPr>
    <w:rPr>
      <w:rFonts w:ascii="Calibri" w:hAnsi="Calibri"/>
      <w:szCs w:val="22"/>
    </w:rPr>
  </w:style>
  <w:style w:type="paragraph" w:styleId="829" w:customStyle="1">
    <w:name w:val="文档结构图11"/>
    <w:basedOn w:val="753"/>
    <w:link w:val="830"/>
    <w:uiPriority w:val="99"/>
    <w:qFormat/>
    <w:rPr>
      <w:rFonts w:ascii="宋体" w:hAnsi="等线" w:eastAsia="Arial" w:cs="Arial"/>
      <w:sz w:val="18"/>
      <w:szCs w:val="18"/>
    </w:rPr>
  </w:style>
  <w:style w:type="character" w:styleId="830" w:customStyle="1">
    <w:name w:val="文档结构图 Char"/>
    <w:basedOn w:val="816"/>
    <w:link w:val="829"/>
    <w:uiPriority w:val="99"/>
    <w:qFormat/>
    <w:rPr>
      <w:rFonts w:ascii="宋体" w:hAnsi="Times New Roman" w:eastAsia="宋体" w:cs="Times New Roman"/>
      <w:sz w:val="18"/>
      <w:szCs w:val="18"/>
    </w:rPr>
  </w:style>
  <w:style w:type="paragraph" w:styleId="831" w:customStyle="1">
    <w:name w:val="批注文字1"/>
    <w:basedOn w:val="753"/>
    <w:link w:val="832"/>
    <w:uiPriority w:val="99"/>
    <w:qFormat/>
    <w:pPr>
      <w:jc w:val="left"/>
    </w:pPr>
    <w:rPr>
      <w:rFonts w:ascii="Calibri" w:hAnsi="Calibri" w:eastAsia="Arial" w:cs="Arial"/>
      <w:szCs w:val="22"/>
    </w:rPr>
  </w:style>
  <w:style w:type="character" w:styleId="832" w:customStyle="1">
    <w:name w:val="批注文字 Char"/>
    <w:basedOn w:val="816"/>
    <w:link w:val="831"/>
    <w:uiPriority w:val="99"/>
    <w:qFormat/>
    <w:rPr>
      <w:rFonts w:ascii="Times New Roman" w:hAnsi="Times New Roman" w:eastAsia="宋体" w:cs="Times New Roman"/>
      <w:szCs w:val="24"/>
    </w:rPr>
  </w:style>
  <w:style w:type="paragraph" w:styleId="833" w:customStyle="1">
    <w:name w:val="索引 61"/>
    <w:basedOn w:val="753"/>
    <w:next w:val="753"/>
    <w:uiPriority w:val="0"/>
    <w:qFormat/>
    <w:pPr>
      <w:ind w:left="1260" w:hanging="210"/>
      <w:jc w:val="left"/>
    </w:pPr>
    <w:rPr>
      <w:rFonts w:ascii="Calibri" w:hAnsi="Calibri"/>
      <w:sz w:val="20"/>
      <w:szCs w:val="20"/>
    </w:rPr>
  </w:style>
  <w:style w:type="paragraph" w:styleId="834" w:customStyle="1">
    <w:name w:val="称呼1"/>
    <w:basedOn w:val="753"/>
    <w:next w:val="753"/>
    <w:link w:val="835"/>
    <w:uiPriority w:val="0"/>
    <w:unhideWhenUsed/>
    <w:qFormat/>
    <w:pPr>
      <w:ind w:firstLine="560"/>
      <w:spacing w:line="500" w:lineRule="exact"/>
    </w:pPr>
    <w:rPr>
      <w:rFonts w:ascii="Arial" w:hAnsi="Arial" w:eastAsia="方正仿宋_GBK" w:cs="Arial"/>
      <w:szCs w:val="22"/>
    </w:rPr>
  </w:style>
  <w:style w:type="character" w:styleId="835" w:customStyle="1">
    <w:name w:val="称呼 Char2"/>
    <w:basedOn w:val="816"/>
    <w:link w:val="834"/>
    <w:uiPriority w:val="99"/>
    <w:semiHidden/>
    <w:qFormat/>
    <w:rPr>
      <w:rFonts w:ascii="Times New Roman" w:hAnsi="Times New Roman" w:eastAsia="宋体" w:cs="Times New Roman"/>
      <w:szCs w:val="24"/>
    </w:rPr>
  </w:style>
  <w:style w:type="paragraph" w:styleId="836" w:customStyle="1">
    <w:name w:val="正文文本 311"/>
    <w:basedOn w:val="753"/>
    <w:link w:val="837"/>
    <w:uiPriority w:val="0"/>
    <w:qFormat/>
    <w:rPr>
      <w:rFonts w:ascii="仿宋_GB2312" w:hAnsi="Arial" w:eastAsia="仿宋_GB2312" w:cs="Arial"/>
      <w:sz w:val="32"/>
      <w:szCs w:val="22"/>
    </w:rPr>
  </w:style>
  <w:style w:type="character" w:styleId="837" w:customStyle="1">
    <w:name w:val="正文文本 3 Char"/>
    <w:basedOn w:val="816"/>
    <w:link w:val="836"/>
    <w:uiPriority w:val="99"/>
    <w:semiHidden/>
    <w:qFormat/>
    <w:rPr>
      <w:rFonts w:ascii="Times New Roman" w:hAnsi="Times New Roman" w:eastAsia="宋体" w:cs="Times New Roman"/>
      <w:sz w:val="16"/>
      <w:szCs w:val="16"/>
    </w:rPr>
  </w:style>
  <w:style w:type="paragraph" w:styleId="838" w:customStyle="1">
    <w:name w:val="列表项目符号 31"/>
    <w:basedOn w:val="753"/>
    <w:uiPriority w:val="99"/>
    <w:unhideWhenUsed/>
    <w:qFormat/>
    <w:pPr>
      <w:contextualSpacing/>
      <w:ind w:left="1236" w:hanging="1236"/>
      <w:tabs>
        <w:tab w:val="left" w:pos="1200" w:leader="none"/>
      </w:tabs>
    </w:pPr>
  </w:style>
  <w:style w:type="paragraph" w:styleId="839" w:customStyle="1">
    <w:name w:val="正文文本11"/>
    <w:basedOn w:val="753"/>
    <w:link w:val="840"/>
    <w:uiPriority w:val="0"/>
    <w:qFormat/>
    <w:rPr>
      <w:rFonts w:ascii="楷体_GB2312" w:hAnsi="Arial" w:eastAsia="楷体_GB2312" w:cs="Arial"/>
      <w:sz w:val="28"/>
      <w:szCs w:val="22"/>
    </w:rPr>
  </w:style>
  <w:style w:type="character" w:styleId="840" w:customStyle="1">
    <w:name w:val="正文文本 Char"/>
    <w:basedOn w:val="816"/>
    <w:link w:val="839"/>
    <w:uiPriority w:val="0"/>
    <w:qFormat/>
    <w:rPr>
      <w:rFonts w:ascii="Times New Roman" w:hAnsi="Times New Roman" w:eastAsia="宋体" w:cs="Times New Roman"/>
      <w:szCs w:val="24"/>
    </w:rPr>
  </w:style>
  <w:style w:type="paragraph" w:styleId="841" w:customStyle="1">
    <w:name w:val="正文文本缩进11"/>
    <w:basedOn w:val="753"/>
    <w:link w:val="842"/>
    <w:uiPriority w:val="0"/>
    <w:qFormat/>
    <w:pPr>
      <w:ind w:firstLine="645"/>
    </w:pPr>
    <w:rPr>
      <w:rFonts w:ascii="楷体_GB2312" w:hAnsi="等线" w:eastAsia="楷体_GB2312" w:cs="Arial"/>
      <w:sz w:val="32"/>
      <w:szCs w:val="22"/>
    </w:rPr>
  </w:style>
  <w:style w:type="character" w:styleId="842" w:customStyle="1">
    <w:name w:val="正文文本缩进 Char"/>
    <w:basedOn w:val="816"/>
    <w:link w:val="841"/>
    <w:uiPriority w:val="99"/>
    <w:semiHidden/>
    <w:qFormat/>
    <w:rPr>
      <w:rFonts w:ascii="Times New Roman" w:hAnsi="Times New Roman" w:eastAsia="宋体" w:cs="Times New Roman"/>
      <w:szCs w:val="24"/>
    </w:rPr>
  </w:style>
  <w:style w:type="paragraph" w:styleId="843" w:customStyle="1">
    <w:name w:val="列表编号 31"/>
    <w:basedOn w:val="753"/>
    <w:uiPriority w:val="0"/>
    <w:qFormat/>
    <w:pPr>
      <w:ind w:left="720" w:hanging="720"/>
      <w:tabs>
        <w:tab w:val="left" w:pos="1200" w:leader="none"/>
      </w:tabs>
    </w:pPr>
  </w:style>
  <w:style w:type="paragraph" w:styleId="844" w:customStyle="1">
    <w:name w:val="列表 21"/>
    <w:basedOn w:val="753"/>
    <w:uiPriority w:val="0"/>
    <w:unhideWhenUsed/>
    <w:qFormat/>
    <w:pPr>
      <w:ind w:left="100" w:hanging="200"/>
      <w:spacing w:line="500" w:lineRule="exact"/>
    </w:pPr>
    <w:rPr>
      <w:rFonts w:ascii="Arial" w:hAnsi="Arial" w:eastAsia="仿宋" w:cs="Arial"/>
      <w:sz w:val="28"/>
    </w:rPr>
  </w:style>
  <w:style w:type="paragraph" w:styleId="845" w:customStyle="1">
    <w:name w:val="文本块11"/>
    <w:basedOn w:val="753"/>
    <w:uiPriority w:val="0"/>
    <w:qFormat/>
    <w:pPr>
      <w:ind w:left="630" w:right="630"/>
      <w:jc w:val="center"/>
    </w:pPr>
    <w:rPr>
      <w:rFonts w:ascii="宋体"/>
      <w:b/>
      <w:sz w:val="32"/>
    </w:rPr>
  </w:style>
  <w:style w:type="paragraph" w:styleId="846" w:customStyle="1">
    <w:name w:val="列表项目符号 21"/>
    <w:basedOn w:val="753"/>
    <w:uiPriority w:val="0"/>
    <w:qFormat/>
    <w:pPr>
      <w:ind w:left="1236" w:hanging="1236"/>
      <w:tabs>
        <w:tab w:val="left" w:pos="780" w:leader="none"/>
      </w:tabs>
    </w:pPr>
  </w:style>
  <w:style w:type="paragraph" w:styleId="847" w:customStyle="1">
    <w:name w:val="HTML 地址1"/>
    <w:basedOn w:val="753"/>
    <w:link w:val="848"/>
    <w:uiPriority w:val="0"/>
    <w:qFormat/>
    <w:rPr>
      <w:rFonts w:ascii="等线" w:hAnsi="等线" w:eastAsia="Arial" w:cs="Arial"/>
      <w:i/>
      <w:iCs/>
    </w:rPr>
  </w:style>
  <w:style w:type="character" w:styleId="848" w:customStyle="1">
    <w:name w:val="HTML 地址 Char1"/>
    <w:basedOn w:val="816"/>
    <w:link w:val="847"/>
    <w:uiPriority w:val="99"/>
    <w:semiHidden/>
    <w:qFormat/>
    <w:rPr>
      <w:rFonts w:ascii="Times New Roman" w:hAnsi="Times New Roman" w:eastAsia="宋体" w:cs="Times New Roman"/>
      <w:i/>
      <w:iCs/>
      <w:szCs w:val="24"/>
    </w:rPr>
  </w:style>
  <w:style w:type="paragraph" w:styleId="849" w:customStyle="1">
    <w:name w:val="目录 51"/>
    <w:basedOn w:val="753"/>
    <w:next w:val="753"/>
    <w:uiPriority w:val="39"/>
    <w:unhideWhenUsed/>
    <w:qFormat/>
    <w:pPr>
      <w:ind w:left="1134"/>
      <w:spacing w:after="57"/>
    </w:pPr>
  </w:style>
  <w:style w:type="paragraph" w:styleId="850" w:customStyle="1">
    <w:name w:val="目录 31"/>
    <w:basedOn w:val="753"/>
    <w:next w:val="753"/>
    <w:uiPriority w:val="39"/>
    <w:unhideWhenUsed/>
    <w:qFormat/>
    <w:pPr>
      <w:ind w:left="840"/>
    </w:pPr>
  </w:style>
  <w:style w:type="paragraph" w:styleId="851" w:customStyle="1">
    <w:name w:val="纯文本11"/>
    <w:basedOn w:val="753"/>
    <w:link w:val="852"/>
    <w:uiPriority w:val="0"/>
    <w:qFormat/>
    <w:rPr>
      <w:rFonts w:ascii="宋体" w:hAnsi="Courier New" w:eastAsia="Arial" w:cs="Courier New"/>
      <w:szCs w:val="21"/>
    </w:rPr>
  </w:style>
  <w:style w:type="character" w:styleId="852" w:customStyle="1">
    <w:name w:val="纯文本 Char"/>
    <w:basedOn w:val="816"/>
    <w:link w:val="851"/>
    <w:uiPriority w:val="99"/>
    <w:qFormat/>
    <w:rPr>
      <w:rFonts w:ascii="宋体" w:hAnsi="Courier New" w:eastAsia="宋体" w:cs="Courier New"/>
      <w:szCs w:val="21"/>
    </w:rPr>
  </w:style>
  <w:style w:type="paragraph" w:styleId="853" w:customStyle="1">
    <w:name w:val="列表项目符号 51"/>
    <w:basedOn w:val="753"/>
    <w:uiPriority w:val="0"/>
    <w:qFormat/>
    <w:pPr>
      <w:spacing w:line="312" w:lineRule="atLeast"/>
    </w:pPr>
    <w:rPr>
      <w:szCs w:val="20"/>
    </w:rPr>
  </w:style>
  <w:style w:type="paragraph" w:styleId="854" w:customStyle="1">
    <w:name w:val="目录 81"/>
    <w:basedOn w:val="753"/>
    <w:next w:val="753"/>
    <w:uiPriority w:val="39"/>
    <w:unhideWhenUsed/>
    <w:qFormat/>
    <w:pPr>
      <w:ind w:left="1984"/>
      <w:spacing w:after="57"/>
    </w:pPr>
  </w:style>
  <w:style w:type="paragraph" w:styleId="855" w:customStyle="1">
    <w:name w:val="索引 31"/>
    <w:basedOn w:val="753"/>
    <w:next w:val="753"/>
    <w:uiPriority w:val="0"/>
    <w:qFormat/>
    <w:pPr>
      <w:ind w:left="630" w:hanging="210"/>
      <w:jc w:val="left"/>
    </w:pPr>
    <w:rPr>
      <w:rFonts w:ascii="Calibri" w:hAnsi="Calibri"/>
      <w:sz w:val="20"/>
      <w:szCs w:val="20"/>
    </w:rPr>
  </w:style>
  <w:style w:type="paragraph" w:styleId="856" w:customStyle="1">
    <w:name w:val="日期11"/>
    <w:basedOn w:val="753"/>
    <w:next w:val="753"/>
    <w:link w:val="857"/>
    <w:uiPriority w:val="0"/>
    <w:qFormat/>
    <w:pPr>
      <w:ind w:left="100"/>
    </w:pPr>
    <w:rPr>
      <w:rFonts w:ascii="仿宋_GB2312" w:hAnsi="等线" w:eastAsia="仿宋_GB2312" w:cs="Arial"/>
      <w:b/>
      <w:sz w:val="36"/>
    </w:rPr>
  </w:style>
  <w:style w:type="character" w:styleId="857" w:customStyle="1">
    <w:name w:val="日期 Char"/>
    <w:basedOn w:val="816"/>
    <w:link w:val="856"/>
    <w:uiPriority w:val="99"/>
    <w:qFormat/>
    <w:rPr>
      <w:rFonts w:ascii="Times New Roman" w:hAnsi="Times New Roman" w:eastAsia="宋体" w:cs="Times New Roman"/>
      <w:szCs w:val="24"/>
    </w:rPr>
  </w:style>
  <w:style w:type="paragraph" w:styleId="858" w:customStyle="1">
    <w:name w:val="正文文本缩进 211"/>
    <w:basedOn w:val="753"/>
    <w:link w:val="859"/>
    <w:uiPriority w:val="0"/>
    <w:qFormat/>
    <w:pPr>
      <w:ind w:firstLine="560"/>
      <w:spacing w:line="520" w:lineRule="exact"/>
    </w:pPr>
    <w:rPr>
      <w:rFonts w:ascii="楷体_GB2312" w:hAnsi="等线" w:eastAsia="楷体_GB2312" w:cs="Arial"/>
      <w:sz w:val="28"/>
      <w:szCs w:val="28"/>
    </w:rPr>
  </w:style>
  <w:style w:type="character" w:styleId="859" w:customStyle="1">
    <w:name w:val="正文文本缩进 2 Char"/>
    <w:basedOn w:val="816"/>
    <w:link w:val="858"/>
    <w:uiPriority w:val="99"/>
    <w:semiHidden/>
    <w:qFormat/>
    <w:rPr>
      <w:rFonts w:ascii="Times New Roman" w:hAnsi="Times New Roman" w:eastAsia="宋体" w:cs="Times New Roman"/>
      <w:szCs w:val="24"/>
    </w:rPr>
  </w:style>
  <w:style w:type="paragraph" w:styleId="860" w:customStyle="1">
    <w:name w:val="尾注文本1"/>
    <w:basedOn w:val="753"/>
    <w:link w:val="861"/>
    <w:uiPriority w:val="99"/>
    <w:qFormat/>
    <w:pPr>
      <w:jc w:val="left"/>
    </w:pPr>
    <w:rPr>
      <w:sz w:val="20"/>
      <w:szCs w:val="20"/>
    </w:rPr>
  </w:style>
  <w:style w:type="character" w:styleId="861" w:customStyle="1">
    <w:name w:val="尾注文本 Char"/>
    <w:basedOn w:val="816"/>
    <w:link w:val="860"/>
    <w:uiPriority w:val="99"/>
    <w:semiHidden/>
    <w:qFormat/>
    <w:rPr>
      <w:rFonts w:ascii="Times New Roman" w:hAnsi="Times New Roman" w:eastAsia="宋体" w:cs="Times New Roman"/>
      <w:szCs w:val="24"/>
    </w:rPr>
  </w:style>
  <w:style w:type="paragraph" w:styleId="862" w:customStyle="1">
    <w:name w:val="批注框文本1"/>
    <w:basedOn w:val="753"/>
    <w:link w:val="863"/>
    <w:uiPriority w:val="0"/>
    <w:qFormat/>
    <w:rPr>
      <w:rFonts w:ascii="等线" w:hAnsi="等线" w:eastAsia="Arial" w:cs="Arial"/>
      <w:sz w:val="18"/>
      <w:szCs w:val="18"/>
    </w:rPr>
  </w:style>
  <w:style w:type="character" w:styleId="863" w:customStyle="1">
    <w:name w:val="批注框文本 Char"/>
    <w:basedOn w:val="816"/>
    <w:link w:val="862"/>
    <w:uiPriority w:val="99"/>
    <w:semiHidden/>
    <w:qFormat/>
    <w:rPr>
      <w:rFonts w:ascii="Times New Roman" w:hAnsi="Times New Roman" w:eastAsia="宋体" w:cs="Times New Roman"/>
      <w:sz w:val="18"/>
      <w:szCs w:val="18"/>
    </w:rPr>
  </w:style>
  <w:style w:type="paragraph" w:styleId="864" w:customStyle="1">
    <w:name w:val="页脚1"/>
    <w:basedOn w:val="753"/>
    <w:link w:val="865"/>
    <w:uiPriority w:val="0"/>
    <w:unhideWhenUsed/>
    <w:qFormat/>
    <w:pPr>
      <w:jc w:val="left"/>
      <w:tabs>
        <w:tab w:val="center" w:pos="4153" w:leader="none"/>
        <w:tab w:val="right" w:pos="8306" w:leader="none"/>
      </w:tabs>
    </w:pPr>
    <w:rPr>
      <w:sz w:val="18"/>
      <w:szCs w:val="18"/>
    </w:rPr>
  </w:style>
  <w:style w:type="character" w:styleId="865" w:customStyle="1">
    <w:name w:val="页脚 Char3"/>
    <w:basedOn w:val="816"/>
    <w:link w:val="864"/>
    <w:uiPriority w:val="99"/>
    <w:semiHidden/>
    <w:qFormat/>
    <w:rPr>
      <w:sz w:val="18"/>
      <w:szCs w:val="18"/>
    </w:rPr>
  </w:style>
  <w:style w:type="paragraph" w:styleId="866" w:customStyle="1">
    <w:name w:val="页眉1"/>
    <w:basedOn w:val="753"/>
    <w:link w:val="86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67" w:customStyle="1">
    <w:name w:val="页眉 Char3"/>
    <w:basedOn w:val="816"/>
    <w:link w:val="866"/>
    <w:uiPriority w:val="99"/>
    <w:semiHidden/>
    <w:qFormat/>
    <w:rPr>
      <w:sz w:val="18"/>
      <w:szCs w:val="18"/>
    </w:rPr>
  </w:style>
  <w:style w:type="paragraph" w:styleId="868" w:customStyle="1">
    <w:name w:val="目录 11"/>
    <w:basedOn w:val="753"/>
    <w:next w:val="753"/>
    <w:uiPriority w:val="39"/>
    <w:unhideWhenUsed/>
    <w:qFormat/>
    <w:pPr>
      <w:spacing w:after="57"/>
    </w:pPr>
  </w:style>
  <w:style w:type="paragraph" w:styleId="869" w:customStyle="1">
    <w:name w:val="目录 41"/>
    <w:basedOn w:val="753"/>
    <w:next w:val="753"/>
    <w:uiPriority w:val="39"/>
    <w:unhideWhenUsed/>
    <w:qFormat/>
    <w:pPr>
      <w:ind w:left="850"/>
      <w:spacing w:after="57"/>
    </w:pPr>
  </w:style>
  <w:style w:type="paragraph" w:styleId="870" w:customStyle="1">
    <w:name w:val="索引标题1"/>
    <w:basedOn w:val="753"/>
    <w:next w:val="871"/>
    <w:uiPriority w:val="0"/>
    <w:unhideWhenUsed/>
    <w:qFormat/>
    <w:pPr>
      <w:spacing w:line="300" w:lineRule="auto"/>
    </w:pPr>
    <w:rPr>
      <w:rFonts w:eastAsia="楷体_GB2312"/>
      <w:sz w:val="24"/>
    </w:rPr>
  </w:style>
  <w:style w:type="paragraph" w:styleId="871" w:customStyle="1">
    <w:name w:val="索引 111"/>
    <w:basedOn w:val="753"/>
    <w:next w:val="753"/>
    <w:uiPriority w:val="0"/>
    <w:unhideWhenUsed/>
    <w:qFormat/>
  </w:style>
  <w:style w:type="paragraph" w:styleId="872" w:customStyle="1">
    <w:name w:val="副标题1"/>
    <w:basedOn w:val="753"/>
    <w:next w:val="753"/>
    <w:link w:val="873"/>
    <w:uiPriority w:val="0"/>
    <w:qFormat/>
    <w:pPr>
      <w:jc w:val="center"/>
      <w:spacing w:before="240" w:after="60" w:line="312" w:lineRule="auto"/>
      <w:outlineLvl w:val="1"/>
    </w:pPr>
    <w:rPr>
      <w:rFonts w:ascii="等线" w:hAnsi="等线" w:eastAsia="Arial" w:cs="Arial"/>
      <w:b/>
      <w:bCs/>
      <w:sz w:val="32"/>
      <w:szCs w:val="32"/>
    </w:rPr>
  </w:style>
  <w:style w:type="character" w:styleId="873" w:customStyle="1">
    <w:name w:val="副标题 Char"/>
    <w:basedOn w:val="816"/>
    <w:link w:val="872"/>
    <w:uiPriority w:val="11"/>
    <w:qFormat/>
    <w:rPr>
      <w:rFonts w:ascii="等线 Light" w:hAnsi="等线 Light" w:eastAsia="宋体" w:cs="Arial"/>
      <w:b/>
      <w:bCs/>
      <w:sz w:val="32"/>
      <w:szCs w:val="32"/>
    </w:rPr>
  </w:style>
  <w:style w:type="paragraph" w:styleId="874" w:customStyle="1">
    <w:name w:val="脚注文本1"/>
    <w:basedOn w:val="753"/>
    <w:link w:val="875"/>
    <w:uiPriority w:val="99"/>
    <w:unhideWhenUsed/>
    <w:qFormat/>
    <w:pPr>
      <w:jc w:val="left"/>
    </w:pPr>
    <w:rPr>
      <w:sz w:val="18"/>
      <w:szCs w:val="20"/>
    </w:rPr>
  </w:style>
  <w:style w:type="character" w:styleId="875" w:customStyle="1">
    <w:name w:val="脚注文本 Char"/>
    <w:basedOn w:val="816"/>
    <w:link w:val="874"/>
    <w:uiPriority w:val="99"/>
    <w:semiHidden/>
    <w:qFormat/>
    <w:rPr>
      <w:rFonts w:ascii="Times New Roman" w:hAnsi="Times New Roman" w:eastAsia="宋体" w:cs="Times New Roman"/>
      <w:sz w:val="18"/>
      <w:szCs w:val="18"/>
    </w:rPr>
  </w:style>
  <w:style w:type="paragraph" w:styleId="876" w:customStyle="1">
    <w:name w:val="目录 61"/>
    <w:basedOn w:val="753"/>
    <w:next w:val="753"/>
    <w:uiPriority w:val="39"/>
    <w:unhideWhenUsed/>
    <w:qFormat/>
    <w:pPr>
      <w:ind w:left="1417"/>
      <w:spacing w:after="57"/>
    </w:pPr>
  </w:style>
  <w:style w:type="paragraph" w:styleId="877" w:customStyle="1">
    <w:name w:val="正文文本缩进 311"/>
    <w:basedOn w:val="753"/>
    <w:link w:val="878"/>
    <w:uiPriority w:val="0"/>
    <w:qFormat/>
    <w:pPr>
      <w:ind w:left="520" w:firstLine="425"/>
      <w:jc w:val="center"/>
    </w:pPr>
    <w:rPr>
      <w:rFonts w:ascii="方正行楷简体" w:hAnsi="Arial" w:eastAsia="方正行楷简体" w:cs="Arial"/>
      <w:sz w:val="36"/>
      <w:szCs w:val="22"/>
    </w:rPr>
  </w:style>
  <w:style w:type="character" w:styleId="878" w:customStyle="1">
    <w:name w:val="正文文本缩进 3 Char"/>
    <w:basedOn w:val="816"/>
    <w:link w:val="877"/>
    <w:uiPriority w:val="99"/>
    <w:semiHidden/>
    <w:qFormat/>
    <w:rPr>
      <w:rFonts w:ascii="Times New Roman" w:hAnsi="Times New Roman" w:eastAsia="宋体" w:cs="Times New Roman"/>
      <w:sz w:val="16"/>
      <w:szCs w:val="16"/>
    </w:rPr>
  </w:style>
  <w:style w:type="paragraph" w:styleId="879" w:customStyle="1">
    <w:name w:val="索引 71"/>
    <w:basedOn w:val="753"/>
    <w:next w:val="753"/>
    <w:uiPriority w:val="0"/>
    <w:qFormat/>
    <w:pPr>
      <w:ind w:left="1470" w:hanging="210"/>
      <w:jc w:val="left"/>
    </w:pPr>
    <w:rPr>
      <w:rFonts w:ascii="Calibri" w:hAnsi="Calibri"/>
      <w:sz w:val="20"/>
      <w:szCs w:val="20"/>
    </w:rPr>
  </w:style>
  <w:style w:type="paragraph" w:styleId="880" w:customStyle="1">
    <w:name w:val="索引 91"/>
    <w:basedOn w:val="753"/>
    <w:next w:val="753"/>
    <w:uiPriority w:val="0"/>
    <w:qFormat/>
    <w:pPr>
      <w:ind w:left="1890" w:hanging="210"/>
      <w:jc w:val="left"/>
    </w:pPr>
    <w:rPr>
      <w:rFonts w:ascii="Calibri" w:hAnsi="Calibri"/>
      <w:sz w:val="20"/>
      <w:szCs w:val="20"/>
    </w:rPr>
  </w:style>
  <w:style w:type="paragraph" w:styleId="881" w:customStyle="1">
    <w:name w:val="图表目录11"/>
    <w:basedOn w:val="753"/>
    <w:next w:val="753"/>
    <w:uiPriority w:val="0"/>
    <w:unhideWhenUsed/>
    <w:qFormat/>
    <w:pPr>
      <w:ind w:left="420" w:hanging="420"/>
      <w:jc w:val="left"/>
      <w:spacing w:line="500" w:lineRule="exact"/>
    </w:pPr>
    <w:rPr>
      <w:rFonts w:ascii="Calibri" w:hAnsi="Calibri" w:eastAsia="仿宋"/>
      <w:smallCaps/>
      <w:sz w:val="20"/>
      <w:szCs w:val="20"/>
    </w:rPr>
  </w:style>
  <w:style w:type="paragraph" w:styleId="882" w:customStyle="1">
    <w:name w:val="目录 21"/>
    <w:basedOn w:val="753"/>
    <w:next w:val="753"/>
    <w:uiPriority w:val="39"/>
    <w:unhideWhenUsed/>
    <w:qFormat/>
    <w:pPr>
      <w:ind w:left="420"/>
    </w:pPr>
  </w:style>
  <w:style w:type="paragraph" w:styleId="883" w:customStyle="1">
    <w:name w:val="目录 91"/>
    <w:basedOn w:val="753"/>
    <w:next w:val="753"/>
    <w:uiPriority w:val="39"/>
    <w:unhideWhenUsed/>
    <w:qFormat/>
    <w:pPr>
      <w:ind w:left="3360"/>
    </w:pPr>
  </w:style>
  <w:style w:type="paragraph" w:styleId="884" w:customStyle="1">
    <w:name w:val="正文文本 211"/>
    <w:basedOn w:val="753"/>
    <w:link w:val="885"/>
    <w:uiPriority w:val="0"/>
    <w:qFormat/>
    <w:pPr>
      <w:spacing w:after="120" w:line="480" w:lineRule="auto"/>
    </w:pPr>
    <w:rPr>
      <w:rFonts w:ascii="等线" w:hAnsi="等线" w:eastAsia="Arial" w:cs="Arial"/>
    </w:rPr>
  </w:style>
  <w:style w:type="character" w:styleId="885" w:customStyle="1">
    <w:name w:val="正文文本 2 Char"/>
    <w:basedOn w:val="816"/>
    <w:link w:val="884"/>
    <w:uiPriority w:val="99"/>
    <w:semiHidden/>
    <w:qFormat/>
    <w:rPr>
      <w:rFonts w:ascii="Times New Roman" w:hAnsi="Times New Roman" w:eastAsia="宋体" w:cs="Times New Roman"/>
      <w:szCs w:val="24"/>
    </w:rPr>
  </w:style>
  <w:style w:type="paragraph" w:styleId="886" w:customStyle="1">
    <w:name w:val="HTML 预设格式1"/>
    <w:basedOn w:val="753"/>
    <w:link w:val="887"/>
    <w:uiPriority w:val="0"/>
    <w:qFormat/>
    <w:rPr>
      <w:rFonts w:ascii="Courier New" w:hAnsi="Courier New" w:eastAsia="Arial" w:cs="Courier New"/>
      <w:szCs w:val="22"/>
    </w:rPr>
  </w:style>
  <w:style w:type="character" w:styleId="887" w:customStyle="1">
    <w:name w:val="HTML 预设格式 Char1"/>
    <w:basedOn w:val="816"/>
    <w:link w:val="886"/>
    <w:uiPriority w:val="99"/>
    <w:semiHidden/>
    <w:qFormat/>
    <w:rPr>
      <w:rFonts w:ascii="Courier New" w:hAnsi="Courier New" w:eastAsia="宋体" w:cs="Courier New"/>
      <w:sz w:val="20"/>
      <w:szCs w:val="20"/>
    </w:rPr>
  </w:style>
  <w:style w:type="paragraph" w:styleId="888" w:customStyle="1">
    <w:name w:val="普通(网站)11"/>
    <w:basedOn w:val="753"/>
    <w:link w:val="889"/>
    <w:uiPriority w:val="0"/>
    <w:qFormat/>
    <w:pPr>
      <w:jc w:val="left"/>
      <w:spacing w:before="100" w:beforeAutospacing="1" w:after="100" w:afterAutospacing="1"/>
      <w:widowControl/>
    </w:pPr>
    <w:rPr>
      <w:rFonts w:ascii="宋体" w:hAnsi="宋体"/>
      <w:color w:val="000000"/>
      <w:sz w:val="24"/>
      <w:lang w:eastAsia="en-US"/>
    </w:rPr>
  </w:style>
  <w:style w:type="character" w:styleId="889" w:customStyle="1">
    <w:name w:val="普通(网站) Char1"/>
    <w:link w:val="888"/>
    <w:uiPriority w:val="0"/>
    <w:qFormat/>
    <w:rPr>
      <w:rFonts w:ascii="宋体" w:hAnsi="宋体" w:cs="宋体"/>
      <w:color w:val="000000"/>
      <w:sz w:val="24"/>
      <w:szCs w:val="24"/>
    </w:rPr>
  </w:style>
  <w:style w:type="paragraph" w:styleId="890" w:customStyle="1">
    <w:name w:val="索引 21"/>
    <w:basedOn w:val="753"/>
    <w:next w:val="753"/>
    <w:uiPriority w:val="0"/>
    <w:qFormat/>
    <w:pPr>
      <w:ind w:left="420" w:hanging="210"/>
      <w:jc w:val="left"/>
    </w:pPr>
    <w:rPr>
      <w:rFonts w:ascii="Calibri" w:hAnsi="Calibri"/>
      <w:sz w:val="20"/>
      <w:szCs w:val="20"/>
    </w:rPr>
  </w:style>
  <w:style w:type="paragraph" w:styleId="891" w:customStyle="1">
    <w:name w:val="标题111"/>
    <w:basedOn w:val="753"/>
    <w:next w:val="753"/>
    <w:link w:val="892"/>
    <w:uiPriority w:val="10"/>
    <w:qFormat/>
    <w:pPr>
      <w:jc w:val="center"/>
      <w:spacing w:before="240" w:after="60"/>
      <w:outlineLvl w:val="0"/>
    </w:pPr>
    <w:rPr>
      <w:rFonts w:ascii="Cambria" w:hAnsi="Cambria" w:eastAsia="Arial" w:cs="Arial"/>
      <w:b/>
      <w:bCs/>
      <w:sz w:val="32"/>
      <w:szCs w:val="32"/>
    </w:rPr>
  </w:style>
  <w:style w:type="character" w:styleId="892" w:customStyle="1">
    <w:name w:val="标题 Char"/>
    <w:basedOn w:val="816"/>
    <w:link w:val="891"/>
    <w:uiPriority w:val="10"/>
    <w:qFormat/>
    <w:rPr>
      <w:rFonts w:ascii="等线 Light" w:hAnsi="等线 Light" w:eastAsia="宋体" w:cs="Arial"/>
      <w:b/>
      <w:bCs/>
      <w:sz w:val="32"/>
      <w:szCs w:val="32"/>
    </w:rPr>
  </w:style>
  <w:style w:type="paragraph" w:styleId="893" w:customStyle="1">
    <w:name w:val="批注主题11"/>
    <w:basedOn w:val="831"/>
    <w:next w:val="831"/>
    <w:link w:val="894"/>
    <w:uiPriority w:val="99"/>
    <w:qFormat/>
    <w:rPr>
      <w:b/>
      <w:bCs/>
    </w:rPr>
  </w:style>
  <w:style w:type="character" w:styleId="894" w:customStyle="1">
    <w:name w:val="批注主题 Char"/>
    <w:basedOn w:val="832"/>
    <w:link w:val="893"/>
    <w:uiPriority w:val="99"/>
    <w:semiHidden/>
    <w:qFormat/>
    <w:rPr>
      <w:rFonts w:ascii="Times New Roman" w:hAnsi="Times New Roman" w:eastAsia="宋体" w:cs="Times New Roman"/>
      <w:b/>
      <w:bCs/>
      <w:szCs w:val="24"/>
    </w:rPr>
  </w:style>
  <w:style w:type="paragraph" w:styleId="895" w:customStyle="1">
    <w:name w:val="正文首行缩进11"/>
    <w:basedOn w:val="839"/>
    <w:link w:val="896"/>
    <w:uiPriority w:val="0"/>
    <w:unhideWhenUsed/>
    <w:qFormat/>
    <w:pPr>
      <w:ind w:firstLine="420"/>
      <w:spacing w:after="120"/>
    </w:pPr>
    <w:rPr>
      <w:rFonts w:ascii="Arial" w:eastAsia="Arial"/>
      <w:sz w:val="21"/>
      <w:szCs w:val="21"/>
    </w:rPr>
  </w:style>
  <w:style w:type="character" w:styleId="896" w:customStyle="1">
    <w:name w:val="正文首行缩进 Char"/>
    <w:basedOn w:val="840"/>
    <w:link w:val="895"/>
    <w:uiPriority w:val="0"/>
    <w:qFormat/>
    <w:rPr>
      <w:rFonts w:ascii="Times New Roman" w:hAnsi="Times New Roman" w:eastAsia="宋体" w:cs="Times New Roman"/>
      <w:szCs w:val="24"/>
    </w:rPr>
  </w:style>
  <w:style w:type="paragraph" w:styleId="897" w:customStyle="1">
    <w:name w:val="正文首行缩进 21"/>
    <w:basedOn w:val="841"/>
    <w:link w:val="898"/>
    <w:uiPriority w:val="0"/>
    <w:unhideWhenUsed/>
    <w:qFormat/>
    <w:pPr>
      <w:ind w:left="420" w:firstLine="420"/>
      <w:spacing w:after="120"/>
    </w:pPr>
    <w:rPr>
      <w:rFonts w:ascii="Arial" w:hAnsi="Arial" w:eastAsia="方正仿宋_GBK"/>
      <w:sz w:val="21"/>
      <w:szCs w:val="24"/>
    </w:rPr>
  </w:style>
  <w:style w:type="character" w:styleId="898" w:customStyle="1">
    <w:name w:val="正文首行缩进 2 Char2"/>
    <w:basedOn w:val="842"/>
    <w:link w:val="897"/>
    <w:uiPriority w:val="99"/>
    <w:semiHidden/>
    <w:qFormat/>
    <w:rPr>
      <w:rFonts w:ascii="Times New Roman" w:hAnsi="Times New Roman" w:eastAsia="宋体" w:cs="Times New Roman"/>
      <w:szCs w:val="24"/>
    </w:rPr>
  </w:style>
  <w:style w:type="table" w:styleId="899" w:customStyle="1">
    <w:name w:val="网格型111"/>
    <w:basedOn w:val="817"/>
    <w:uiPriority w:val="59"/>
    <w:unhideWhenUsed/>
    <w:qFormat/>
    <w:tblPr>
      <w:tblCellMar>
        <w:left w:w="0" w:type="dxa"/>
        <w:top w:w="0" w:type="dxa"/>
        <w:right w:w="0" w:type="dxa"/>
        <w:bottom w:w="0" w:type="dxa"/>
      </w:tblCellMar>
    </w:tblPr>
  </w:style>
  <w:style w:type="table" w:styleId="900" w:customStyle="1">
    <w:name w:val="表格主题1"/>
    <w:basedOn w:val="817"/>
    <w:uiPriority w:val="0"/>
    <w:qFormat/>
    <w:pPr>
      <w:jc w:val="both"/>
      <w:widowControl w:val="off"/>
    </w:pPr>
    <w:tblPr>
      <w:tblCellMar>
        <w:left w:w="0" w:type="dxa"/>
        <w:top w:w="0" w:type="dxa"/>
        <w:right w:w="0" w:type="dxa"/>
        <w:bottom w:w="0" w:type="dxa"/>
      </w:tblCellMar>
    </w:tblPr>
  </w:style>
  <w:style w:type="table" w:styleId="901" w:customStyle="1">
    <w:name w:val="典雅型1"/>
    <w:basedOn w:val="817"/>
    <w:uiPriority w:val="0"/>
    <w:unhideWhenUsed/>
    <w:qFormat/>
    <w:pPr>
      <w:jc w:val="both"/>
      <w:widowControl w:val="off"/>
    </w:pPr>
    <w:tblPr>
      <w:tblCellMar>
        <w:left w:w="0" w:type="dxa"/>
        <w:top w:w="0" w:type="dxa"/>
        <w:right w:w="0" w:type="dxa"/>
        <w:bottom w:w="0" w:type="dxa"/>
      </w:tblCellMar>
    </w:tblPr>
  </w:style>
  <w:style w:type="character" w:styleId="902" w:customStyle="1">
    <w:name w:val="要点1"/>
    <w:uiPriority w:val="0"/>
    <w:qFormat/>
    <w:rPr>
      <w:b/>
      <w:bCs/>
    </w:rPr>
  </w:style>
  <w:style w:type="character" w:styleId="903" w:customStyle="1">
    <w:name w:val="尾注引用1"/>
    <w:uiPriority w:val="0"/>
    <w:qFormat/>
    <w:rPr>
      <w:vertAlign w:val="superscript"/>
    </w:rPr>
  </w:style>
  <w:style w:type="character" w:styleId="904" w:customStyle="1">
    <w:name w:val="页码11"/>
    <w:basedOn w:val="816"/>
    <w:uiPriority w:val="0"/>
    <w:qFormat/>
  </w:style>
  <w:style w:type="character" w:styleId="905" w:customStyle="1">
    <w:name w:val="已访问的超链接1"/>
    <w:basedOn w:val="816"/>
    <w:uiPriority w:val="99"/>
    <w:unhideWhenUsed/>
    <w:qFormat/>
    <w:rPr>
      <w:color w:val="954f72"/>
      <w:u w:val="single"/>
    </w:rPr>
  </w:style>
  <w:style w:type="character" w:styleId="906" w:customStyle="1">
    <w:name w:val="强调1"/>
    <w:uiPriority w:val="20"/>
    <w:qFormat/>
    <w:rPr>
      <w:color w:val="cc0000"/>
    </w:rPr>
  </w:style>
  <w:style w:type="character" w:styleId="907" w:customStyle="1">
    <w:name w:val="HTML 定义1"/>
    <w:basedOn w:val="816"/>
    <w:uiPriority w:val="0"/>
    <w:unhideWhenUsed/>
    <w:qFormat/>
  </w:style>
  <w:style w:type="character" w:styleId="908" w:customStyle="1">
    <w:name w:val="HTML 打字机1"/>
    <w:uiPriority w:val="0"/>
    <w:unhideWhenUsed/>
    <w:qFormat/>
    <w:rPr>
      <w:rFonts w:ascii="Courier New" w:hAnsi="Courier New" w:eastAsia="Courier New" w:cs="Courier New"/>
      <w:sz w:val="24"/>
      <w:szCs w:val="24"/>
    </w:rPr>
  </w:style>
  <w:style w:type="character" w:styleId="909" w:customStyle="1">
    <w:name w:val="HTML 缩写1"/>
    <w:basedOn w:val="816"/>
    <w:uiPriority w:val="0"/>
    <w:qFormat/>
  </w:style>
  <w:style w:type="character" w:styleId="910" w:customStyle="1">
    <w:name w:val="HTML 变量1"/>
    <w:basedOn w:val="816"/>
    <w:uiPriority w:val="0"/>
    <w:unhideWhenUsed/>
    <w:qFormat/>
  </w:style>
  <w:style w:type="character" w:styleId="911" w:customStyle="1">
    <w:name w:val="超链接1"/>
    <w:basedOn w:val="816"/>
    <w:uiPriority w:val="99"/>
    <w:qFormat/>
    <w:rPr>
      <w:color w:val="0000ff"/>
      <w:u w:val="none"/>
    </w:rPr>
  </w:style>
  <w:style w:type="character" w:styleId="912" w:customStyle="1">
    <w:name w:val="HTML 代码1"/>
    <w:uiPriority w:val="0"/>
    <w:unhideWhenUsed/>
    <w:qFormat/>
    <w:rPr>
      <w:rFonts w:ascii="Courier New" w:hAnsi="Courier New" w:eastAsia="Courier New" w:cs="Courier New"/>
      <w:sz w:val="24"/>
      <w:szCs w:val="24"/>
    </w:rPr>
  </w:style>
  <w:style w:type="character" w:styleId="913" w:customStyle="1">
    <w:name w:val="批注引用11"/>
    <w:uiPriority w:val="99"/>
    <w:qFormat/>
    <w:rPr>
      <w:sz w:val="21"/>
      <w:szCs w:val="21"/>
    </w:rPr>
  </w:style>
  <w:style w:type="character" w:styleId="914" w:customStyle="1">
    <w:name w:val="HTML 引文1"/>
    <w:basedOn w:val="816"/>
    <w:uiPriority w:val="0"/>
    <w:unhideWhenUsed/>
    <w:qFormat/>
  </w:style>
  <w:style w:type="character" w:styleId="915" w:customStyle="1">
    <w:name w:val="脚注引用1"/>
    <w:uiPriority w:val="0"/>
    <w:unhideWhenUsed/>
    <w:qFormat/>
    <w:rPr>
      <w:vertAlign w:val="superscript"/>
    </w:rPr>
  </w:style>
  <w:style w:type="character" w:styleId="916" w:customStyle="1">
    <w:name w:val="HTML 键盘1"/>
    <w:uiPriority w:val="0"/>
    <w:unhideWhenUsed/>
    <w:qFormat/>
    <w:rPr>
      <w:rFonts w:ascii="Courier New" w:hAnsi="Courier New" w:eastAsia="Courier New" w:cs="Courier New"/>
      <w:sz w:val="24"/>
      <w:szCs w:val="24"/>
    </w:rPr>
  </w:style>
  <w:style w:type="character" w:styleId="917" w:customStyle="1">
    <w:name w:val="HTML 样本1"/>
    <w:uiPriority w:val="0"/>
    <w:unhideWhenUsed/>
    <w:qFormat/>
    <w:rPr>
      <w:rFonts w:ascii="Courier New" w:hAnsi="Courier New" w:eastAsia="Courier New" w:cs="Courier New"/>
    </w:rPr>
  </w:style>
  <w:style w:type="character" w:styleId="918" w:customStyle="1">
    <w:name w:val="Heading 1 Char"/>
    <w:basedOn w:val="816"/>
    <w:uiPriority w:val="9"/>
    <w:qFormat/>
    <w:rPr>
      <w:rFonts w:ascii="Arial" w:hAnsi="Arial" w:eastAsia="Arial" w:cs="Arial"/>
      <w:sz w:val="40"/>
      <w:szCs w:val="40"/>
    </w:rPr>
  </w:style>
  <w:style w:type="character" w:styleId="919" w:customStyle="1">
    <w:name w:val="Heading 2 Char"/>
    <w:basedOn w:val="816"/>
    <w:uiPriority w:val="9"/>
    <w:qFormat/>
    <w:rPr>
      <w:rFonts w:ascii="Arial" w:hAnsi="Arial" w:eastAsia="Arial" w:cs="Arial"/>
      <w:sz w:val="34"/>
    </w:rPr>
  </w:style>
  <w:style w:type="character" w:styleId="920" w:customStyle="1">
    <w:name w:val="Heading 3 Char"/>
    <w:basedOn w:val="816"/>
    <w:uiPriority w:val="9"/>
    <w:qFormat/>
    <w:rPr>
      <w:rFonts w:ascii="Arial" w:hAnsi="Arial" w:eastAsia="Arial" w:cs="Arial"/>
      <w:sz w:val="30"/>
      <w:szCs w:val="30"/>
    </w:rPr>
  </w:style>
  <w:style w:type="character" w:styleId="921" w:customStyle="1">
    <w:name w:val="Heading 4 Char"/>
    <w:basedOn w:val="816"/>
    <w:uiPriority w:val="9"/>
    <w:qFormat/>
    <w:rPr>
      <w:rFonts w:ascii="Arial" w:hAnsi="Arial" w:eastAsia="Arial" w:cs="Arial"/>
      <w:b/>
      <w:bCs/>
      <w:sz w:val="26"/>
      <w:szCs w:val="26"/>
    </w:rPr>
  </w:style>
  <w:style w:type="character" w:styleId="922" w:customStyle="1">
    <w:name w:val="Heading 5 Char"/>
    <w:basedOn w:val="816"/>
    <w:uiPriority w:val="9"/>
    <w:qFormat/>
    <w:rPr>
      <w:rFonts w:ascii="Arial" w:hAnsi="Arial" w:eastAsia="Arial" w:cs="Arial"/>
      <w:b/>
      <w:bCs/>
      <w:sz w:val="24"/>
      <w:szCs w:val="24"/>
    </w:rPr>
  </w:style>
  <w:style w:type="character" w:styleId="923" w:customStyle="1">
    <w:name w:val="Heading 6 Char"/>
    <w:basedOn w:val="816"/>
    <w:uiPriority w:val="9"/>
    <w:qFormat/>
    <w:rPr>
      <w:rFonts w:ascii="Arial" w:hAnsi="Arial" w:eastAsia="Arial" w:cs="Arial"/>
      <w:b/>
      <w:bCs/>
      <w:sz w:val="22"/>
      <w:szCs w:val="22"/>
    </w:rPr>
  </w:style>
  <w:style w:type="character" w:styleId="924" w:customStyle="1">
    <w:name w:val="Heading 7 Char"/>
    <w:basedOn w:val="816"/>
    <w:uiPriority w:val="9"/>
    <w:qFormat/>
    <w:rPr>
      <w:rFonts w:ascii="Arial" w:hAnsi="Arial" w:eastAsia="Arial" w:cs="Arial"/>
      <w:b/>
      <w:bCs/>
      <w:i/>
      <w:iCs/>
      <w:sz w:val="22"/>
      <w:szCs w:val="22"/>
    </w:rPr>
  </w:style>
  <w:style w:type="character" w:styleId="925" w:customStyle="1">
    <w:name w:val="Heading 8 Char"/>
    <w:basedOn w:val="816"/>
    <w:uiPriority w:val="9"/>
    <w:qFormat/>
    <w:rPr>
      <w:rFonts w:ascii="Arial" w:hAnsi="Arial" w:eastAsia="Arial" w:cs="Arial"/>
      <w:i/>
      <w:iCs/>
      <w:sz w:val="22"/>
      <w:szCs w:val="22"/>
    </w:rPr>
  </w:style>
  <w:style w:type="character" w:styleId="926" w:customStyle="1">
    <w:name w:val="Heading 9 Char"/>
    <w:basedOn w:val="816"/>
    <w:uiPriority w:val="9"/>
    <w:qFormat/>
    <w:rPr>
      <w:rFonts w:ascii="Arial" w:hAnsi="Arial" w:eastAsia="Arial" w:cs="Arial"/>
      <w:i/>
      <w:iCs/>
      <w:sz w:val="21"/>
      <w:szCs w:val="21"/>
    </w:rPr>
  </w:style>
  <w:style w:type="character" w:styleId="927" w:customStyle="1">
    <w:name w:val="Title Char"/>
    <w:basedOn w:val="816"/>
    <w:uiPriority w:val="10"/>
    <w:qFormat/>
    <w:rPr>
      <w:sz w:val="48"/>
      <w:szCs w:val="48"/>
    </w:rPr>
  </w:style>
  <w:style w:type="character" w:styleId="928" w:customStyle="1">
    <w:name w:val="Subtitle Char"/>
    <w:basedOn w:val="816"/>
    <w:uiPriority w:val="11"/>
    <w:qFormat/>
    <w:rPr>
      <w:sz w:val="24"/>
      <w:szCs w:val="24"/>
    </w:rPr>
  </w:style>
  <w:style w:type="paragraph" w:styleId="929" w:customStyle="1">
    <w:name w:val="引用1"/>
    <w:basedOn w:val="753"/>
    <w:next w:val="753"/>
    <w:link w:val="930"/>
    <w:uiPriority w:val="29"/>
    <w:qFormat/>
    <w:pPr>
      <w:ind w:left="720" w:right="720"/>
    </w:pPr>
    <w:rPr>
      <w:i/>
      <w:sz w:val="20"/>
      <w:szCs w:val="20"/>
      <w:lang w:eastAsia="en-US"/>
    </w:rPr>
  </w:style>
  <w:style w:type="character" w:styleId="930" w:customStyle="1">
    <w:name w:val="引用 Char3"/>
    <w:link w:val="929"/>
    <w:uiPriority w:val="29"/>
    <w:qFormat/>
    <w:rPr>
      <w:i/>
    </w:rPr>
  </w:style>
  <w:style w:type="paragraph" w:styleId="931" w:customStyle="1">
    <w:name w:val="明显引用1"/>
    <w:basedOn w:val="753"/>
    <w:next w:val="753"/>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32" w:customStyle="1">
    <w:name w:val="明显引用 Char"/>
    <w:link w:val="931"/>
    <w:uiPriority w:val="30"/>
    <w:qFormat/>
    <w:rPr>
      <w:i/>
    </w:rPr>
  </w:style>
  <w:style w:type="character" w:styleId="933" w:customStyle="1">
    <w:name w:val="Header Char"/>
    <w:basedOn w:val="816"/>
    <w:uiPriority w:val="99"/>
    <w:qFormat/>
  </w:style>
  <w:style w:type="character" w:styleId="934" w:customStyle="1">
    <w:name w:val="Footer Char"/>
    <w:basedOn w:val="816"/>
    <w:uiPriority w:val="99"/>
    <w:qFormat/>
  </w:style>
  <w:style w:type="character" w:styleId="935" w:customStyle="1">
    <w:name w:val="Caption Char"/>
    <w:uiPriority w:val="99"/>
    <w:qFormat/>
  </w:style>
  <w:style w:type="table" w:styleId="936" w:customStyle="1">
    <w:name w:val="Table Grid Light"/>
    <w:basedOn w:val="817"/>
    <w:uiPriority w:val="59"/>
    <w:qFormat/>
    <w:tblPr>
      <w:tblCellMar>
        <w:left w:w="0" w:type="dxa"/>
        <w:top w:w="0" w:type="dxa"/>
        <w:right w:w="0" w:type="dxa"/>
        <w:bottom w:w="0" w:type="dxa"/>
      </w:tblCellMar>
    </w:tblPr>
  </w:style>
  <w:style w:type="table" w:styleId="937" w:customStyle="1">
    <w:name w:val="Plain Table 1"/>
    <w:basedOn w:val="817"/>
    <w:uiPriority w:val="59"/>
    <w:qFormat/>
    <w:tblPr>
      <w:tblCellMar>
        <w:left w:w="0" w:type="dxa"/>
        <w:top w:w="0" w:type="dxa"/>
        <w:right w:w="0" w:type="dxa"/>
        <w:bottom w:w="0" w:type="dxa"/>
      </w:tblCellMar>
    </w:tblPr>
  </w:style>
  <w:style w:type="table" w:styleId="938" w:customStyle="1">
    <w:name w:val="Plain Table 2"/>
    <w:basedOn w:val="817"/>
    <w:uiPriority w:val="59"/>
    <w:qFormat/>
    <w:tblPr>
      <w:tblCellMar>
        <w:left w:w="0" w:type="dxa"/>
        <w:top w:w="0" w:type="dxa"/>
        <w:right w:w="0" w:type="dxa"/>
        <w:bottom w:w="0" w:type="dxa"/>
      </w:tblCellMar>
    </w:tblPr>
  </w:style>
  <w:style w:type="table" w:styleId="939" w:customStyle="1">
    <w:name w:val="Plain Table 3"/>
    <w:basedOn w:val="817"/>
    <w:uiPriority w:val="99"/>
    <w:qFormat/>
    <w:tblPr>
      <w:tblCellMar>
        <w:left w:w="0" w:type="dxa"/>
        <w:top w:w="0" w:type="dxa"/>
        <w:right w:w="0" w:type="dxa"/>
        <w:bottom w:w="0" w:type="dxa"/>
      </w:tblCellMar>
    </w:tblPr>
  </w:style>
  <w:style w:type="table" w:styleId="940" w:customStyle="1">
    <w:name w:val="Plain Table 4"/>
    <w:basedOn w:val="817"/>
    <w:uiPriority w:val="99"/>
    <w:qFormat/>
    <w:tblPr>
      <w:tblCellMar>
        <w:left w:w="0" w:type="dxa"/>
        <w:top w:w="0" w:type="dxa"/>
        <w:right w:w="0" w:type="dxa"/>
        <w:bottom w:w="0" w:type="dxa"/>
      </w:tblCellMar>
    </w:tblPr>
  </w:style>
  <w:style w:type="table" w:styleId="941" w:customStyle="1">
    <w:name w:val="Plain Table 5"/>
    <w:basedOn w:val="817"/>
    <w:uiPriority w:val="99"/>
    <w:qFormat/>
    <w:tblPr>
      <w:tblCellMar>
        <w:left w:w="0" w:type="dxa"/>
        <w:top w:w="0" w:type="dxa"/>
        <w:right w:w="0" w:type="dxa"/>
        <w:bottom w:w="0" w:type="dxa"/>
      </w:tblCellMar>
    </w:tblPr>
  </w:style>
  <w:style w:type="table" w:styleId="942" w:customStyle="1">
    <w:name w:val="Grid Table 1 Light"/>
    <w:basedOn w:val="817"/>
    <w:uiPriority w:val="99"/>
    <w:qFormat/>
    <w:tblPr>
      <w:tblCellMar>
        <w:left w:w="0" w:type="dxa"/>
        <w:top w:w="0" w:type="dxa"/>
        <w:right w:w="0" w:type="dxa"/>
        <w:bottom w:w="0" w:type="dxa"/>
      </w:tblCellMar>
    </w:tblPr>
  </w:style>
  <w:style w:type="table" w:styleId="943" w:customStyle="1">
    <w:name w:val="Grid Table 1 Light - Accent 1"/>
    <w:basedOn w:val="817"/>
    <w:uiPriority w:val="99"/>
    <w:qFormat/>
    <w:tblPr>
      <w:tblCellMar>
        <w:left w:w="0" w:type="dxa"/>
        <w:top w:w="0" w:type="dxa"/>
        <w:right w:w="0" w:type="dxa"/>
        <w:bottom w:w="0" w:type="dxa"/>
      </w:tblCellMar>
    </w:tblPr>
  </w:style>
  <w:style w:type="table" w:styleId="944" w:customStyle="1">
    <w:name w:val="Grid Table 1 Light - Accent 2"/>
    <w:basedOn w:val="817"/>
    <w:uiPriority w:val="99"/>
    <w:qFormat/>
    <w:tblPr>
      <w:tblCellMar>
        <w:left w:w="0" w:type="dxa"/>
        <w:top w:w="0" w:type="dxa"/>
        <w:right w:w="0" w:type="dxa"/>
        <w:bottom w:w="0" w:type="dxa"/>
      </w:tblCellMar>
    </w:tblPr>
  </w:style>
  <w:style w:type="table" w:styleId="945" w:customStyle="1">
    <w:name w:val="Grid Table 1 Light - Accent 3"/>
    <w:basedOn w:val="817"/>
    <w:uiPriority w:val="99"/>
    <w:qFormat/>
    <w:tblPr>
      <w:tblCellMar>
        <w:left w:w="0" w:type="dxa"/>
        <w:top w:w="0" w:type="dxa"/>
        <w:right w:w="0" w:type="dxa"/>
        <w:bottom w:w="0" w:type="dxa"/>
      </w:tblCellMar>
    </w:tblPr>
  </w:style>
  <w:style w:type="table" w:styleId="946" w:customStyle="1">
    <w:name w:val="Grid Table 1 Light - Accent 4"/>
    <w:basedOn w:val="817"/>
    <w:uiPriority w:val="99"/>
    <w:qFormat/>
    <w:tblPr>
      <w:tblCellMar>
        <w:left w:w="0" w:type="dxa"/>
        <w:top w:w="0" w:type="dxa"/>
        <w:right w:w="0" w:type="dxa"/>
        <w:bottom w:w="0" w:type="dxa"/>
      </w:tblCellMar>
    </w:tblPr>
  </w:style>
  <w:style w:type="table" w:styleId="947" w:customStyle="1">
    <w:name w:val="Grid Table 1 Light - Accent 5"/>
    <w:basedOn w:val="817"/>
    <w:uiPriority w:val="99"/>
    <w:qFormat/>
    <w:tblPr>
      <w:tblCellMar>
        <w:left w:w="0" w:type="dxa"/>
        <w:top w:w="0" w:type="dxa"/>
        <w:right w:w="0" w:type="dxa"/>
        <w:bottom w:w="0" w:type="dxa"/>
      </w:tblCellMar>
    </w:tblPr>
  </w:style>
  <w:style w:type="table" w:styleId="948" w:customStyle="1">
    <w:name w:val="Grid Table 1 Light - Accent 6"/>
    <w:basedOn w:val="817"/>
    <w:uiPriority w:val="99"/>
    <w:qFormat/>
    <w:tblPr>
      <w:tblCellMar>
        <w:left w:w="0" w:type="dxa"/>
        <w:top w:w="0" w:type="dxa"/>
        <w:right w:w="0" w:type="dxa"/>
        <w:bottom w:w="0" w:type="dxa"/>
      </w:tblCellMar>
    </w:tblPr>
  </w:style>
  <w:style w:type="table" w:styleId="949" w:customStyle="1">
    <w:name w:val="Grid Table 2"/>
    <w:basedOn w:val="817"/>
    <w:uiPriority w:val="99"/>
    <w:qFormat/>
    <w:tblPr>
      <w:tblCellMar>
        <w:left w:w="0" w:type="dxa"/>
        <w:top w:w="0" w:type="dxa"/>
        <w:right w:w="0" w:type="dxa"/>
        <w:bottom w:w="0" w:type="dxa"/>
      </w:tblCellMar>
    </w:tblPr>
  </w:style>
  <w:style w:type="table" w:styleId="950" w:customStyle="1">
    <w:name w:val="Grid Table 2 - Accent 1"/>
    <w:basedOn w:val="817"/>
    <w:uiPriority w:val="99"/>
    <w:qFormat/>
    <w:tblPr>
      <w:tblCellMar>
        <w:left w:w="0" w:type="dxa"/>
        <w:top w:w="0" w:type="dxa"/>
        <w:right w:w="0" w:type="dxa"/>
        <w:bottom w:w="0" w:type="dxa"/>
      </w:tblCellMar>
    </w:tblPr>
  </w:style>
  <w:style w:type="table" w:styleId="951" w:customStyle="1">
    <w:name w:val="Grid Table 2 - Accent 2"/>
    <w:basedOn w:val="817"/>
    <w:uiPriority w:val="99"/>
    <w:qFormat/>
    <w:tblPr>
      <w:tblCellMar>
        <w:left w:w="0" w:type="dxa"/>
        <w:top w:w="0" w:type="dxa"/>
        <w:right w:w="0" w:type="dxa"/>
        <w:bottom w:w="0" w:type="dxa"/>
      </w:tblCellMar>
    </w:tblPr>
  </w:style>
  <w:style w:type="table" w:styleId="952" w:customStyle="1">
    <w:name w:val="Grid Table 2 - Accent 3"/>
    <w:basedOn w:val="817"/>
    <w:uiPriority w:val="99"/>
    <w:qFormat/>
    <w:tblPr>
      <w:tblCellMar>
        <w:left w:w="0" w:type="dxa"/>
        <w:top w:w="0" w:type="dxa"/>
        <w:right w:w="0" w:type="dxa"/>
        <w:bottom w:w="0" w:type="dxa"/>
      </w:tblCellMar>
    </w:tblPr>
  </w:style>
  <w:style w:type="table" w:styleId="953" w:customStyle="1">
    <w:name w:val="Grid Table 2 - Accent 4"/>
    <w:basedOn w:val="817"/>
    <w:uiPriority w:val="99"/>
    <w:qFormat/>
    <w:tblPr>
      <w:tblCellMar>
        <w:left w:w="0" w:type="dxa"/>
        <w:top w:w="0" w:type="dxa"/>
        <w:right w:w="0" w:type="dxa"/>
        <w:bottom w:w="0" w:type="dxa"/>
      </w:tblCellMar>
    </w:tblPr>
  </w:style>
  <w:style w:type="table" w:styleId="954" w:customStyle="1">
    <w:name w:val="Grid Table 2 - Accent 5"/>
    <w:basedOn w:val="817"/>
    <w:uiPriority w:val="99"/>
    <w:qFormat/>
    <w:tblPr>
      <w:tblCellMar>
        <w:left w:w="0" w:type="dxa"/>
        <w:top w:w="0" w:type="dxa"/>
        <w:right w:w="0" w:type="dxa"/>
        <w:bottom w:w="0" w:type="dxa"/>
      </w:tblCellMar>
    </w:tblPr>
  </w:style>
  <w:style w:type="table" w:styleId="955" w:customStyle="1">
    <w:name w:val="Grid Table 2 - Accent 6"/>
    <w:basedOn w:val="817"/>
    <w:uiPriority w:val="99"/>
    <w:qFormat/>
    <w:tblPr>
      <w:tblCellMar>
        <w:left w:w="0" w:type="dxa"/>
        <w:top w:w="0" w:type="dxa"/>
        <w:right w:w="0" w:type="dxa"/>
        <w:bottom w:w="0" w:type="dxa"/>
      </w:tblCellMar>
    </w:tblPr>
  </w:style>
  <w:style w:type="table" w:styleId="956" w:customStyle="1">
    <w:name w:val="Grid Table 3"/>
    <w:basedOn w:val="817"/>
    <w:uiPriority w:val="99"/>
    <w:qFormat/>
    <w:tblPr>
      <w:tblCellMar>
        <w:left w:w="0" w:type="dxa"/>
        <w:top w:w="0" w:type="dxa"/>
        <w:right w:w="0" w:type="dxa"/>
        <w:bottom w:w="0" w:type="dxa"/>
      </w:tblCellMar>
    </w:tblPr>
  </w:style>
  <w:style w:type="table" w:styleId="957" w:customStyle="1">
    <w:name w:val="Grid Table 3 - Accent 1"/>
    <w:basedOn w:val="817"/>
    <w:uiPriority w:val="99"/>
    <w:qFormat/>
    <w:tblPr>
      <w:tblCellMar>
        <w:left w:w="0" w:type="dxa"/>
        <w:top w:w="0" w:type="dxa"/>
        <w:right w:w="0" w:type="dxa"/>
        <w:bottom w:w="0" w:type="dxa"/>
      </w:tblCellMar>
    </w:tblPr>
  </w:style>
  <w:style w:type="table" w:styleId="958" w:customStyle="1">
    <w:name w:val="Grid Table 3 - Accent 2"/>
    <w:basedOn w:val="817"/>
    <w:uiPriority w:val="99"/>
    <w:qFormat/>
    <w:tblPr>
      <w:tblCellMar>
        <w:left w:w="0" w:type="dxa"/>
        <w:top w:w="0" w:type="dxa"/>
        <w:right w:w="0" w:type="dxa"/>
        <w:bottom w:w="0" w:type="dxa"/>
      </w:tblCellMar>
    </w:tblPr>
  </w:style>
  <w:style w:type="table" w:styleId="959" w:customStyle="1">
    <w:name w:val="Grid Table 3 - Accent 3"/>
    <w:basedOn w:val="817"/>
    <w:uiPriority w:val="99"/>
    <w:qFormat/>
    <w:tblPr>
      <w:tblCellMar>
        <w:left w:w="0" w:type="dxa"/>
        <w:top w:w="0" w:type="dxa"/>
        <w:right w:w="0" w:type="dxa"/>
        <w:bottom w:w="0" w:type="dxa"/>
      </w:tblCellMar>
    </w:tblPr>
  </w:style>
  <w:style w:type="table" w:styleId="960" w:customStyle="1">
    <w:name w:val="Grid Table 3 - Accent 4"/>
    <w:basedOn w:val="817"/>
    <w:uiPriority w:val="99"/>
    <w:qFormat/>
    <w:tblPr>
      <w:tblCellMar>
        <w:left w:w="0" w:type="dxa"/>
        <w:top w:w="0" w:type="dxa"/>
        <w:right w:w="0" w:type="dxa"/>
        <w:bottom w:w="0" w:type="dxa"/>
      </w:tblCellMar>
    </w:tblPr>
  </w:style>
  <w:style w:type="table" w:styleId="961" w:customStyle="1">
    <w:name w:val="Grid Table 3 - Accent 5"/>
    <w:basedOn w:val="817"/>
    <w:uiPriority w:val="99"/>
    <w:qFormat/>
    <w:tblPr>
      <w:tblCellMar>
        <w:left w:w="0" w:type="dxa"/>
        <w:top w:w="0" w:type="dxa"/>
        <w:right w:w="0" w:type="dxa"/>
        <w:bottom w:w="0" w:type="dxa"/>
      </w:tblCellMar>
    </w:tblPr>
  </w:style>
  <w:style w:type="table" w:styleId="962" w:customStyle="1">
    <w:name w:val="Grid Table 3 - Accent 6"/>
    <w:basedOn w:val="817"/>
    <w:uiPriority w:val="99"/>
    <w:qFormat/>
    <w:tblPr>
      <w:tblCellMar>
        <w:left w:w="0" w:type="dxa"/>
        <w:top w:w="0" w:type="dxa"/>
        <w:right w:w="0" w:type="dxa"/>
        <w:bottom w:w="0" w:type="dxa"/>
      </w:tblCellMar>
    </w:tblPr>
  </w:style>
  <w:style w:type="table" w:styleId="963" w:customStyle="1">
    <w:name w:val="Grid Table 4"/>
    <w:basedOn w:val="817"/>
    <w:uiPriority w:val="59"/>
    <w:qFormat/>
    <w:tblPr>
      <w:tblCellMar>
        <w:left w:w="0" w:type="dxa"/>
        <w:top w:w="0" w:type="dxa"/>
        <w:right w:w="0" w:type="dxa"/>
        <w:bottom w:w="0" w:type="dxa"/>
      </w:tblCellMar>
    </w:tblPr>
  </w:style>
  <w:style w:type="table" w:styleId="964" w:customStyle="1">
    <w:name w:val="Grid Table 4 - Accent 1"/>
    <w:basedOn w:val="817"/>
    <w:uiPriority w:val="59"/>
    <w:qFormat/>
    <w:tblPr>
      <w:tblCellMar>
        <w:left w:w="0" w:type="dxa"/>
        <w:top w:w="0" w:type="dxa"/>
        <w:right w:w="0" w:type="dxa"/>
        <w:bottom w:w="0" w:type="dxa"/>
      </w:tblCellMar>
    </w:tblPr>
  </w:style>
  <w:style w:type="table" w:styleId="965" w:customStyle="1">
    <w:name w:val="Grid Table 4 - Accent 2"/>
    <w:basedOn w:val="817"/>
    <w:uiPriority w:val="59"/>
    <w:qFormat/>
    <w:tblPr>
      <w:tblCellMar>
        <w:left w:w="0" w:type="dxa"/>
        <w:top w:w="0" w:type="dxa"/>
        <w:right w:w="0" w:type="dxa"/>
        <w:bottom w:w="0" w:type="dxa"/>
      </w:tblCellMar>
    </w:tblPr>
  </w:style>
  <w:style w:type="table" w:styleId="966" w:customStyle="1">
    <w:name w:val="Grid Table 4 - Accent 3"/>
    <w:basedOn w:val="817"/>
    <w:uiPriority w:val="59"/>
    <w:qFormat/>
    <w:tblPr>
      <w:tblCellMar>
        <w:left w:w="0" w:type="dxa"/>
        <w:top w:w="0" w:type="dxa"/>
        <w:right w:w="0" w:type="dxa"/>
        <w:bottom w:w="0" w:type="dxa"/>
      </w:tblCellMar>
    </w:tblPr>
  </w:style>
  <w:style w:type="table" w:styleId="967" w:customStyle="1">
    <w:name w:val="Grid Table 4 - Accent 4"/>
    <w:basedOn w:val="817"/>
    <w:uiPriority w:val="59"/>
    <w:qFormat/>
    <w:tblPr>
      <w:tblCellMar>
        <w:left w:w="0" w:type="dxa"/>
        <w:top w:w="0" w:type="dxa"/>
        <w:right w:w="0" w:type="dxa"/>
        <w:bottom w:w="0" w:type="dxa"/>
      </w:tblCellMar>
    </w:tblPr>
  </w:style>
  <w:style w:type="table" w:styleId="968" w:customStyle="1">
    <w:name w:val="Grid Table 4 - Accent 5"/>
    <w:basedOn w:val="817"/>
    <w:uiPriority w:val="59"/>
    <w:qFormat/>
    <w:tblPr>
      <w:tblCellMar>
        <w:left w:w="0" w:type="dxa"/>
        <w:top w:w="0" w:type="dxa"/>
        <w:right w:w="0" w:type="dxa"/>
        <w:bottom w:w="0" w:type="dxa"/>
      </w:tblCellMar>
    </w:tblPr>
  </w:style>
  <w:style w:type="table" w:styleId="969" w:customStyle="1">
    <w:name w:val="Grid Table 4 - Accent 6"/>
    <w:basedOn w:val="817"/>
    <w:uiPriority w:val="59"/>
    <w:qFormat/>
    <w:tblPr>
      <w:tblCellMar>
        <w:left w:w="0" w:type="dxa"/>
        <w:top w:w="0" w:type="dxa"/>
        <w:right w:w="0" w:type="dxa"/>
        <w:bottom w:w="0" w:type="dxa"/>
      </w:tblCellMar>
    </w:tblPr>
  </w:style>
  <w:style w:type="table" w:styleId="970" w:customStyle="1">
    <w:name w:val="Grid Table 5 Dark"/>
    <w:basedOn w:val="817"/>
    <w:uiPriority w:val="99"/>
    <w:qFormat/>
    <w:tblPr>
      <w:tblCellMar>
        <w:left w:w="0" w:type="dxa"/>
        <w:top w:w="0" w:type="dxa"/>
        <w:right w:w="0" w:type="dxa"/>
        <w:bottom w:w="0" w:type="dxa"/>
      </w:tblCellMar>
    </w:tblPr>
  </w:style>
  <w:style w:type="table" w:styleId="971" w:customStyle="1">
    <w:name w:val="Grid Table 5 Dark- Accent 1"/>
    <w:basedOn w:val="817"/>
    <w:uiPriority w:val="99"/>
    <w:qFormat/>
    <w:tblPr>
      <w:tblCellMar>
        <w:left w:w="0" w:type="dxa"/>
        <w:top w:w="0" w:type="dxa"/>
        <w:right w:w="0" w:type="dxa"/>
        <w:bottom w:w="0" w:type="dxa"/>
      </w:tblCellMar>
    </w:tblPr>
  </w:style>
  <w:style w:type="table" w:styleId="972" w:customStyle="1">
    <w:name w:val="Grid Table 5 Dark - Accent 2"/>
    <w:basedOn w:val="817"/>
    <w:uiPriority w:val="99"/>
    <w:qFormat/>
    <w:tblPr>
      <w:tblCellMar>
        <w:left w:w="0" w:type="dxa"/>
        <w:top w:w="0" w:type="dxa"/>
        <w:right w:w="0" w:type="dxa"/>
        <w:bottom w:w="0" w:type="dxa"/>
      </w:tblCellMar>
    </w:tblPr>
  </w:style>
  <w:style w:type="table" w:styleId="973" w:customStyle="1">
    <w:name w:val="Grid Table 5 Dark - Accent 3"/>
    <w:basedOn w:val="817"/>
    <w:uiPriority w:val="99"/>
    <w:qFormat/>
    <w:tblPr>
      <w:tblCellMar>
        <w:left w:w="0" w:type="dxa"/>
        <w:top w:w="0" w:type="dxa"/>
        <w:right w:w="0" w:type="dxa"/>
        <w:bottom w:w="0" w:type="dxa"/>
      </w:tblCellMar>
    </w:tblPr>
  </w:style>
  <w:style w:type="table" w:styleId="974" w:customStyle="1">
    <w:name w:val="Grid Table 5 Dark- Accent 4"/>
    <w:basedOn w:val="817"/>
    <w:uiPriority w:val="99"/>
    <w:qFormat/>
    <w:tblPr>
      <w:tblCellMar>
        <w:left w:w="0" w:type="dxa"/>
        <w:top w:w="0" w:type="dxa"/>
        <w:right w:w="0" w:type="dxa"/>
        <w:bottom w:w="0" w:type="dxa"/>
      </w:tblCellMar>
    </w:tblPr>
  </w:style>
  <w:style w:type="table" w:styleId="975" w:customStyle="1">
    <w:name w:val="Grid Table 5 Dark - Accent 5"/>
    <w:basedOn w:val="817"/>
    <w:uiPriority w:val="99"/>
    <w:qFormat/>
    <w:tblPr>
      <w:tblCellMar>
        <w:left w:w="0" w:type="dxa"/>
        <w:top w:w="0" w:type="dxa"/>
        <w:right w:w="0" w:type="dxa"/>
        <w:bottom w:w="0" w:type="dxa"/>
      </w:tblCellMar>
    </w:tblPr>
  </w:style>
  <w:style w:type="table" w:styleId="976" w:customStyle="1">
    <w:name w:val="Grid Table 5 Dark - Accent 6"/>
    <w:basedOn w:val="817"/>
    <w:uiPriority w:val="99"/>
    <w:qFormat/>
    <w:tblPr>
      <w:tblCellMar>
        <w:left w:w="0" w:type="dxa"/>
        <w:top w:w="0" w:type="dxa"/>
        <w:right w:w="0" w:type="dxa"/>
        <w:bottom w:w="0" w:type="dxa"/>
      </w:tblCellMar>
    </w:tblPr>
  </w:style>
  <w:style w:type="table" w:styleId="977" w:customStyle="1">
    <w:name w:val="Grid Table 6 Colorful"/>
    <w:basedOn w:val="817"/>
    <w:uiPriority w:val="99"/>
    <w:qFormat/>
    <w:tblPr>
      <w:tblCellMar>
        <w:left w:w="0" w:type="dxa"/>
        <w:top w:w="0" w:type="dxa"/>
        <w:right w:w="0" w:type="dxa"/>
        <w:bottom w:w="0" w:type="dxa"/>
      </w:tblCellMar>
    </w:tblPr>
  </w:style>
  <w:style w:type="table" w:styleId="978" w:customStyle="1">
    <w:name w:val="Grid Table 6 Colorful - Accent 1"/>
    <w:basedOn w:val="817"/>
    <w:uiPriority w:val="99"/>
    <w:qFormat/>
    <w:tblPr>
      <w:tblCellMar>
        <w:left w:w="0" w:type="dxa"/>
        <w:top w:w="0" w:type="dxa"/>
        <w:right w:w="0" w:type="dxa"/>
        <w:bottom w:w="0" w:type="dxa"/>
      </w:tblCellMar>
    </w:tblPr>
  </w:style>
  <w:style w:type="table" w:styleId="979" w:customStyle="1">
    <w:name w:val="Grid Table 6 Colorful - Accent 2"/>
    <w:basedOn w:val="817"/>
    <w:uiPriority w:val="99"/>
    <w:qFormat/>
    <w:tblPr>
      <w:tblCellMar>
        <w:left w:w="0" w:type="dxa"/>
        <w:top w:w="0" w:type="dxa"/>
        <w:right w:w="0" w:type="dxa"/>
        <w:bottom w:w="0" w:type="dxa"/>
      </w:tblCellMar>
    </w:tblPr>
  </w:style>
  <w:style w:type="table" w:styleId="980" w:customStyle="1">
    <w:name w:val="Grid Table 6 Colorful - Accent 3"/>
    <w:basedOn w:val="817"/>
    <w:uiPriority w:val="99"/>
    <w:qFormat/>
    <w:tblPr>
      <w:tblCellMar>
        <w:left w:w="0" w:type="dxa"/>
        <w:top w:w="0" w:type="dxa"/>
        <w:right w:w="0" w:type="dxa"/>
        <w:bottom w:w="0" w:type="dxa"/>
      </w:tblCellMar>
    </w:tblPr>
  </w:style>
  <w:style w:type="table" w:styleId="981" w:customStyle="1">
    <w:name w:val="Grid Table 6 Colorful - Accent 4"/>
    <w:basedOn w:val="817"/>
    <w:uiPriority w:val="99"/>
    <w:qFormat/>
    <w:tblPr>
      <w:tblCellMar>
        <w:left w:w="0" w:type="dxa"/>
        <w:top w:w="0" w:type="dxa"/>
        <w:right w:w="0" w:type="dxa"/>
        <w:bottom w:w="0" w:type="dxa"/>
      </w:tblCellMar>
    </w:tblPr>
  </w:style>
  <w:style w:type="table" w:styleId="982" w:customStyle="1">
    <w:name w:val="Grid Table 6 Colorful - Accent 5"/>
    <w:basedOn w:val="817"/>
    <w:uiPriority w:val="99"/>
    <w:qFormat/>
    <w:tblPr>
      <w:tblCellMar>
        <w:left w:w="0" w:type="dxa"/>
        <w:top w:w="0" w:type="dxa"/>
        <w:right w:w="0" w:type="dxa"/>
        <w:bottom w:w="0" w:type="dxa"/>
      </w:tblCellMar>
    </w:tblPr>
  </w:style>
  <w:style w:type="table" w:styleId="983" w:customStyle="1">
    <w:name w:val="Grid Table 6 Colorful - Accent 6"/>
    <w:basedOn w:val="817"/>
    <w:uiPriority w:val="99"/>
    <w:qFormat/>
    <w:tblPr>
      <w:tblCellMar>
        <w:left w:w="0" w:type="dxa"/>
        <w:top w:w="0" w:type="dxa"/>
        <w:right w:w="0" w:type="dxa"/>
        <w:bottom w:w="0" w:type="dxa"/>
      </w:tblCellMar>
    </w:tblPr>
  </w:style>
  <w:style w:type="table" w:styleId="984" w:customStyle="1">
    <w:name w:val="Grid Table 7 Colorful"/>
    <w:basedOn w:val="817"/>
    <w:uiPriority w:val="99"/>
    <w:qFormat/>
    <w:tblPr>
      <w:tblCellMar>
        <w:left w:w="0" w:type="dxa"/>
        <w:top w:w="0" w:type="dxa"/>
        <w:right w:w="0" w:type="dxa"/>
        <w:bottom w:w="0" w:type="dxa"/>
      </w:tblCellMar>
    </w:tblPr>
  </w:style>
  <w:style w:type="table" w:styleId="985" w:customStyle="1">
    <w:name w:val="Grid Table 7 Colorful - Accent 1"/>
    <w:basedOn w:val="817"/>
    <w:uiPriority w:val="99"/>
    <w:qFormat/>
    <w:tblPr>
      <w:tblCellMar>
        <w:left w:w="0" w:type="dxa"/>
        <w:top w:w="0" w:type="dxa"/>
        <w:right w:w="0" w:type="dxa"/>
        <w:bottom w:w="0" w:type="dxa"/>
      </w:tblCellMar>
    </w:tblPr>
  </w:style>
  <w:style w:type="table" w:styleId="986" w:customStyle="1">
    <w:name w:val="Grid Table 7 Colorful - Accent 2"/>
    <w:basedOn w:val="817"/>
    <w:uiPriority w:val="99"/>
    <w:qFormat/>
    <w:tblPr>
      <w:tblCellMar>
        <w:left w:w="0" w:type="dxa"/>
        <w:top w:w="0" w:type="dxa"/>
        <w:right w:w="0" w:type="dxa"/>
        <w:bottom w:w="0" w:type="dxa"/>
      </w:tblCellMar>
    </w:tblPr>
  </w:style>
  <w:style w:type="table" w:styleId="987" w:customStyle="1">
    <w:name w:val="Grid Table 7 Colorful - Accent 3"/>
    <w:basedOn w:val="817"/>
    <w:uiPriority w:val="99"/>
    <w:qFormat/>
    <w:tblPr>
      <w:tblCellMar>
        <w:left w:w="0" w:type="dxa"/>
        <w:top w:w="0" w:type="dxa"/>
        <w:right w:w="0" w:type="dxa"/>
        <w:bottom w:w="0" w:type="dxa"/>
      </w:tblCellMar>
    </w:tblPr>
  </w:style>
  <w:style w:type="table" w:styleId="988" w:customStyle="1">
    <w:name w:val="Grid Table 7 Colorful - Accent 4"/>
    <w:basedOn w:val="817"/>
    <w:uiPriority w:val="99"/>
    <w:qFormat/>
    <w:tblPr>
      <w:tblCellMar>
        <w:left w:w="0" w:type="dxa"/>
        <w:top w:w="0" w:type="dxa"/>
        <w:right w:w="0" w:type="dxa"/>
        <w:bottom w:w="0" w:type="dxa"/>
      </w:tblCellMar>
    </w:tblPr>
  </w:style>
  <w:style w:type="table" w:styleId="989" w:customStyle="1">
    <w:name w:val="Grid Table 7 Colorful - Accent 5"/>
    <w:basedOn w:val="817"/>
    <w:uiPriority w:val="99"/>
    <w:qFormat/>
    <w:tblPr>
      <w:tblCellMar>
        <w:left w:w="0" w:type="dxa"/>
        <w:top w:w="0" w:type="dxa"/>
        <w:right w:w="0" w:type="dxa"/>
        <w:bottom w:w="0" w:type="dxa"/>
      </w:tblCellMar>
    </w:tblPr>
  </w:style>
  <w:style w:type="table" w:styleId="990" w:customStyle="1">
    <w:name w:val="Grid Table 7 Colorful - Accent 6"/>
    <w:basedOn w:val="817"/>
    <w:uiPriority w:val="99"/>
    <w:qFormat/>
    <w:tblPr>
      <w:tblCellMar>
        <w:left w:w="0" w:type="dxa"/>
        <w:top w:w="0" w:type="dxa"/>
        <w:right w:w="0" w:type="dxa"/>
        <w:bottom w:w="0" w:type="dxa"/>
      </w:tblCellMar>
    </w:tblPr>
  </w:style>
  <w:style w:type="table" w:styleId="991" w:customStyle="1">
    <w:name w:val="List Table 1 Light"/>
    <w:basedOn w:val="817"/>
    <w:uiPriority w:val="99"/>
    <w:qFormat/>
    <w:tblPr>
      <w:tblCellMar>
        <w:left w:w="0" w:type="dxa"/>
        <w:top w:w="0" w:type="dxa"/>
        <w:right w:w="0" w:type="dxa"/>
        <w:bottom w:w="0" w:type="dxa"/>
      </w:tblCellMar>
    </w:tblPr>
  </w:style>
  <w:style w:type="table" w:styleId="992" w:customStyle="1">
    <w:name w:val="List Table 1 Light - Accent 1"/>
    <w:basedOn w:val="817"/>
    <w:uiPriority w:val="99"/>
    <w:qFormat/>
    <w:tblPr>
      <w:tblCellMar>
        <w:left w:w="0" w:type="dxa"/>
        <w:top w:w="0" w:type="dxa"/>
        <w:right w:w="0" w:type="dxa"/>
        <w:bottom w:w="0" w:type="dxa"/>
      </w:tblCellMar>
    </w:tblPr>
  </w:style>
  <w:style w:type="table" w:styleId="993" w:customStyle="1">
    <w:name w:val="List Table 1 Light - Accent 2"/>
    <w:basedOn w:val="817"/>
    <w:uiPriority w:val="99"/>
    <w:qFormat/>
    <w:tblPr>
      <w:tblCellMar>
        <w:left w:w="0" w:type="dxa"/>
        <w:top w:w="0" w:type="dxa"/>
        <w:right w:w="0" w:type="dxa"/>
        <w:bottom w:w="0" w:type="dxa"/>
      </w:tblCellMar>
    </w:tblPr>
  </w:style>
  <w:style w:type="table" w:styleId="994" w:customStyle="1">
    <w:name w:val="List Table 1 Light - Accent 3"/>
    <w:basedOn w:val="817"/>
    <w:uiPriority w:val="99"/>
    <w:qFormat/>
    <w:tblPr>
      <w:tblCellMar>
        <w:left w:w="0" w:type="dxa"/>
        <w:top w:w="0" w:type="dxa"/>
        <w:right w:w="0" w:type="dxa"/>
        <w:bottom w:w="0" w:type="dxa"/>
      </w:tblCellMar>
    </w:tblPr>
  </w:style>
  <w:style w:type="table" w:styleId="995" w:customStyle="1">
    <w:name w:val="List Table 1 Light - Accent 4"/>
    <w:basedOn w:val="817"/>
    <w:uiPriority w:val="99"/>
    <w:qFormat/>
    <w:tblPr>
      <w:tblCellMar>
        <w:left w:w="0" w:type="dxa"/>
        <w:top w:w="0" w:type="dxa"/>
        <w:right w:w="0" w:type="dxa"/>
        <w:bottom w:w="0" w:type="dxa"/>
      </w:tblCellMar>
    </w:tblPr>
  </w:style>
  <w:style w:type="table" w:styleId="996" w:customStyle="1">
    <w:name w:val="List Table 1 Light - Accent 5"/>
    <w:basedOn w:val="817"/>
    <w:uiPriority w:val="99"/>
    <w:qFormat/>
    <w:tblPr>
      <w:tblCellMar>
        <w:left w:w="0" w:type="dxa"/>
        <w:top w:w="0" w:type="dxa"/>
        <w:right w:w="0" w:type="dxa"/>
        <w:bottom w:w="0" w:type="dxa"/>
      </w:tblCellMar>
    </w:tblPr>
  </w:style>
  <w:style w:type="table" w:styleId="997" w:customStyle="1">
    <w:name w:val="List Table 1 Light - Accent 6"/>
    <w:basedOn w:val="817"/>
    <w:uiPriority w:val="99"/>
    <w:qFormat/>
    <w:tblPr>
      <w:tblCellMar>
        <w:left w:w="0" w:type="dxa"/>
        <w:top w:w="0" w:type="dxa"/>
        <w:right w:w="0" w:type="dxa"/>
        <w:bottom w:w="0" w:type="dxa"/>
      </w:tblCellMar>
    </w:tblPr>
  </w:style>
  <w:style w:type="table" w:styleId="998" w:customStyle="1">
    <w:name w:val="List Table 2"/>
    <w:basedOn w:val="817"/>
    <w:uiPriority w:val="99"/>
    <w:qFormat/>
    <w:tblPr>
      <w:tblCellMar>
        <w:left w:w="0" w:type="dxa"/>
        <w:top w:w="0" w:type="dxa"/>
        <w:right w:w="0" w:type="dxa"/>
        <w:bottom w:w="0" w:type="dxa"/>
      </w:tblCellMar>
    </w:tblPr>
  </w:style>
  <w:style w:type="table" w:styleId="999" w:customStyle="1">
    <w:name w:val="List Table 2 - Accent 1"/>
    <w:basedOn w:val="817"/>
    <w:uiPriority w:val="99"/>
    <w:qFormat/>
    <w:tblPr>
      <w:tblCellMar>
        <w:left w:w="0" w:type="dxa"/>
        <w:top w:w="0" w:type="dxa"/>
        <w:right w:w="0" w:type="dxa"/>
        <w:bottom w:w="0" w:type="dxa"/>
      </w:tblCellMar>
    </w:tblPr>
  </w:style>
  <w:style w:type="table" w:styleId="1000" w:customStyle="1">
    <w:name w:val="List Table 2 - Accent 2"/>
    <w:basedOn w:val="817"/>
    <w:uiPriority w:val="99"/>
    <w:qFormat/>
    <w:tblPr>
      <w:tblCellMar>
        <w:left w:w="0" w:type="dxa"/>
        <w:top w:w="0" w:type="dxa"/>
        <w:right w:w="0" w:type="dxa"/>
        <w:bottom w:w="0" w:type="dxa"/>
      </w:tblCellMar>
    </w:tblPr>
  </w:style>
  <w:style w:type="table" w:styleId="1001" w:customStyle="1">
    <w:name w:val="List Table 2 - Accent 3"/>
    <w:basedOn w:val="817"/>
    <w:uiPriority w:val="99"/>
    <w:qFormat/>
    <w:tblPr>
      <w:tblCellMar>
        <w:left w:w="0" w:type="dxa"/>
        <w:top w:w="0" w:type="dxa"/>
        <w:right w:w="0" w:type="dxa"/>
        <w:bottom w:w="0" w:type="dxa"/>
      </w:tblCellMar>
    </w:tblPr>
  </w:style>
  <w:style w:type="table" w:styleId="1002" w:customStyle="1">
    <w:name w:val="List Table 2 - Accent 4"/>
    <w:basedOn w:val="817"/>
    <w:uiPriority w:val="99"/>
    <w:qFormat/>
    <w:tblPr>
      <w:tblCellMar>
        <w:left w:w="0" w:type="dxa"/>
        <w:top w:w="0" w:type="dxa"/>
        <w:right w:w="0" w:type="dxa"/>
        <w:bottom w:w="0" w:type="dxa"/>
      </w:tblCellMar>
    </w:tblPr>
  </w:style>
  <w:style w:type="table" w:styleId="1003" w:customStyle="1">
    <w:name w:val="List Table 2 - Accent 5"/>
    <w:basedOn w:val="817"/>
    <w:uiPriority w:val="99"/>
    <w:qFormat/>
    <w:tblPr>
      <w:tblCellMar>
        <w:left w:w="0" w:type="dxa"/>
        <w:top w:w="0" w:type="dxa"/>
        <w:right w:w="0" w:type="dxa"/>
        <w:bottom w:w="0" w:type="dxa"/>
      </w:tblCellMar>
    </w:tblPr>
  </w:style>
  <w:style w:type="table" w:styleId="1004" w:customStyle="1">
    <w:name w:val="List Table 2 - Accent 6"/>
    <w:basedOn w:val="817"/>
    <w:uiPriority w:val="99"/>
    <w:qFormat/>
    <w:tblPr>
      <w:tblCellMar>
        <w:left w:w="0" w:type="dxa"/>
        <w:top w:w="0" w:type="dxa"/>
        <w:right w:w="0" w:type="dxa"/>
        <w:bottom w:w="0" w:type="dxa"/>
      </w:tblCellMar>
    </w:tblPr>
  </w:style>
  <w:style w:type="table" w:styleId="1005" w:customStyle="1">
    <w:name w:val="List Table 3"/>
    <w:basedOn w:val="817"/>
    <w:uiPriority w:val="99"/>
    <w:qFormat/>
    <w:tblPr>
      <w:tblCellMar>
        <w:left w:w="0" w:type="dxa"/>
        <w:top w:w="0" w:type="dxa"/>
        <w:right w:w="0" w:type="dxa"/>
        <w:bottom w:w="0" w:type="dxa"/>
      </w:tblCellMar>
    </w:tblPr>
  </w:style>
  <w:style w:type="table" w:styleId="1006" w:customStyle="1">
    <w:name w:val="List Table 3 - Accent 1"/>
    <w:basedOn w:val="817"/>
    <w:uiPriority w:val="99"/>
    <w:qFormat/>
    <w:tblPr>
      <w:tblCellMar>
        <w:left w:w="0" w:type="dxa"/>
        <w:top w:w="0" w:type="dxa"/>
        <w:right w:w="0" w:type="dxa"/>
        <w:bottom w:w="0" w:type="dxa"/>
      </w:tblCellMar>
    </w:tblPr>
  </w:style>
  <w:style w:type="table" w:styleId="1007" w:customStyle="1">
    <w:name w:val="List Table 3 - Accent 2"/>
    <w:basedOn w:val="817"/>
    <w:uiPriority w:val="99"/>
    <w:qFormat/>
    <w:tblPr>
      <w:tblCellMar>
        <w:left w:w="0" w:type="dxa"/>
        <w:top w:w="0" w:type="dxa"/>
        <w:right w:w="0" w:type="dxa"/>
        <w:bottom w:w="0" w:type="dxa"/>
      </w:tblCellMar>
    </w:tblPr>
  </w:style>
  <w:style w:type="table" w:styleId="1008" w:customStyle="1">
    <w:name w:val="List Table 3 - Accent 3"/>
    <w:basedOn w:val="817"/>
    <w:uiPriority w:val="99"/>
    <w:qFormat/>
    <w:tblPr>
      <w:tblCellMar>
        <w:left w:w="0" w:type="dxa"/>
        <w:top w:w="0" w:type="dxa"/>
        <w:right w:w="0" w:type="dxa"/>
        <w:bottom w:w="0" w:type="dxa"/>
      </w:tblCellMar>
    </w:tblPr>
  </w:style>
  <w:style w:type="table" w:styleId="1009" w:customStyle="1">
    <w:name w:val="List Table 3 - Accent 4"/>
    <w:basedOn w:val="817"/>
    <w:uiPriority w:val="99"/>
    <w:qFormat/>
    <w:tblPr>
      <w:tblCellMar>
        <w:left w:w="0" w:type="dxa"/>
        <w:top w:w="0" w:type="dxa"/>
        <w:right w:w="0" w:type="dxa"/>
        <w:bottom w:w="0" w:type="dxa"/>
      </w:tblCellMar>
    </w:tblPr>
  </w:style>
  <w:style w:type="table" w:styleId="1010" w:customStyle="1">
    <w:name w:val="List Table 3 - Accent 5"/>
    <w:basedOn w:val="817"/>
    <w:uiPriority w:val="99"/>
    <w:qFormat/>
    <w:tblPr>
      <w:tblCellMar>
        <w:left w:w="0" w:type="dxa"/>
        <w:top w:w="0" w:type="dxa"/>
        <w:right w:w="0" w:type="dxa"/>
        <w:bottom w:w="0" w:type="dxa"/>
      </w:tblCellMar>
    </w:tblPr>
  </w:style>
  <w:style w:type="table" w:styleId="1011" w:customStyle="1">
    <w:name w:val="List Table 3 - Accent 6"/>
    <w:basedOn w:val="817"/>
    <w:uiPriority w:val="99"/>
    <w:qFormat/>
    <w:tblPr>
      <w:tblCellMar>
        <w:left w:w="0" w:type="dxa"/>
        <w:top w:w="0" w:type="dxa"/>
        <w:right w:w="0" w:type="dxa"/>
        <w:bottom w:w="0" w:type="dxa"/>
      </w:tblCellMar>
    </w:tblPr>
  </w:style>
  <w:style w:type="table" w:styleId="1012" w:customStyle="1">
    <w:name w:val="List Table 4"/>
    <w:basedOn w:val="817"/>
    <w:uiPriority w:val="99"/>
    <w:qFormat/>
    <w:tblPr>
      <w:tblCellMar>
        <w:left w:w="0" w:type="dxa"/>
        <w:top w:w="0" w:type="dxa"/>
        <w:right w:w="0" w:type="dxa"/>
        <w:bottom w:w="0" w:type="dxa"/>
      </w:tblCellMar>
    </w:tblPr>
  </w:style>
  <w:style w:type="table" w:styleId="1013" w:customStyle="1">
    <w:name w:val="List Table 4 - Accent 1"/>
    <w:basedOn w:val="817"/>
    <w:uiPriority w:val="99"/>
    <w:qFormat/>
    <w:tblPr>
      <w:tblCellMar>
        <w:left w:w="0" w:type="dxa"/>
        <w:top w:w="0" w:type="dxa"/>
        <w:right w:w="0" w:type="dxa"/>
        <w:bottom w:w="0" w:type="dxa"/>
      </w:tblCellMar>
    </w:tblPr>
  </w:style>
  <w:style w:type="table" w:styleId="1014" w:customStyle="1">
    <w:name w:val="List Table 4 - Accent 2"/>
    <w:basedOn w:val="817"/>
    <w:uiPriority w:val="99"/>
    <w:qFormat/>
    <w:tblPr>
      <w:tblCellMar>
        <w:left w:w="0" w:type="dxa"/>
        <w:top w:w="0" w:type="dxa"/>
        <w:right w:w="0" w:type="dxa"/>
        <w:bottom w:w="0" w:type="dxa"/>
      </w:tblCellMar>
    </w:tblPr>
  </w:style>
  <w:style w:type="table" w:styleId="1015" w:customStyle="1">
    <w:name w:val="List Table 4 - Accent 3"/>
    <w:basedOn w:val="817"/>
    <w:uiPriority w:val="99"/>
    <w:qFormat/>
    <w:tblPr>
      <w:tblCellMar>
        <w:left w:w="0" w:type="dxa"/>
        <w:top w:w="0" w:type="dxa"/>
        <w:right w:w="0" w:type="dxa"/>
        <w:bottom w:w="0" w:type="dxa"/>
      </w:tblCellMar>
    </w:tblPr>
  </w:style>
  <w:style w:type="table" w:styleId="1016" w:customStyle="1">
    <w:name w:val="List Table 4 - Accent 4"/>
    <w:basedOn w:val="817"/>
    <w:uiPriority w:val="99"/>
    <w:qFormat/>
    <w:tblPr>
      <w:tblCellMar>
        <w:left w:w="0" w:type="dxa"/>
        <w:top w:w="0" w:type="dxa"/>
        <w:right w:w="0" w:type="dxa"/>
        <w:bottom w:w="0" w:type="dxa"/>
      </w:tblCellMar>
    </w:tblPr>
  </w:style>
  <w:style w:type="table" w:styleId="1017" w:customStyle="1">
    <w:name w:val="List Table 4 - Accent 5"/>
    <w:basedOn w:val="817"/>
    <w:uiPriority w:val="99"/>
    <w:qFormat/>
    <w:tblPr>
      <w:tblCellMar>
        <w:left w:w="0" w:type="dxa"/>
        <w:top w:w="0" w:type="dxa"/>
        <w:right w:w="0" w:type="dxa"/>
        <w:bottom w:w="0" w:type="dxa"/>
      </w:tblCellMar>
    </w:tblPr>
  </w:style>
  <w:style w:type="table" w:styleId="1018" w:customStyle="1">
    <w:name w:val="List Table 4 - Accent 6"/>
    <w:basedOn w:val="817"/>
    <w:uiPriority w:val="99"/>
    <w:qFormat/>
    <w:tblPr>
      <w:tblCellMar>
        <w:left w:w="0" w:type="dxa"/>
        <w:top w:w="0" w:type="dxa"/>
        <w:right w:w="0" w:type="dxa"/>
        <w:bottom w:w="0" w:type="dxa"/>
      </w:tblCellMar>
    </w:tblPr>
  </w:style>
  <w:style w:type="table" w:styleId="1019" w:customStyle="1">
    <w:name w:val="List Table 5 Dark"/>
    <w:basedOn w:val="817"/>
    <w:uiPriority w:val="99"/>
    <w:qFormat/>
    <w:tblPr>
      <w:tblCellMar>
        <w:left w:w="0" w:type="dxa"/>
        <w:top w:w="0" w:type="dxa"/>
        <w:right w:w="0" w:type="dxa"/>
        <w:bottom w:w="0" w:type="dxa"/>
      </w:tblCellMar>
    </w:tblPr>
  </w:style>
  <w:style w:type="table" w:styleId="1020" w:customStyle="1">
    <w:name w:val="List Table 5 Dark - Accent 1"/>
    <w:basedOn w:val="817"/>
    <w:uiPriority w:val="99"/>
    <w:qFormat/>
    <w:tblPr>
      <w:tblCellMar>
        <w:left w:w="0" w:type="dxa"/>
        <w:top w:w="0" w:type="dxa"/>
        <w:right w:w="0" w:type="dxa"/>
        <w:bottom w:w="0" w:type="dxa"/>
      </w:tblCellMar>
    </w:tblPr>
  </w:style>
  <w:style w:type="table" w:styleId="1021" w:customStyle="1">
    <w:name w:val="List Table 5 Dark - Accent 2"/>
    <w:basedOn w:val="817"/>
    <w:uiPriority w:val="99"/>
    <w:qFormat/>
    <w:tblPr>
      <w:tblCellMar>
        <w:left w:w="0" w:type="dxa"/>
        <w:top w:w="0" w:type="dxa"/>
        <w:right w:w="0" w:type="dxa"/>
        <w:bottom w:w="0" w:type="dxa"/>
      </w:tblCellMar>
    </w:tblPr>
  </w:style>
  <w:style w:type="table" w:styleId="1022" w:customStyle="1">
    <w:name w:val="List Table 5 Dark - Accent 3"/>
    <w:basedOn w:val="817"/>
    <w:uiPriority w:val="99"/>
    <w:qFormat/>
    <w:tblPr>
      <w:tblCellMar>
        <w:left w:w="0" w:type="dxa"/>
        <w:top w:w="0" w:type="dxa"/>
        <w:right w:w="0" w:type="dxa"/>
        <w:bottom w:w="0" w:type="dxa"/>
      </w:tblCellMar>
    </w:tblPr>
  </w:style>
  <w:style w:type="table" w:styleId="1023" w:customStyle="1">
    <w:name w:val="List Table 5 Dark - Accent 4"/>
    <w:basedOn w:val="817"/>
    <w:uiPriority w:val="99"/>
    <w:qFormat/>
    <w:tblPr>
      <w:tblCellMar>
        <w:left w:w="0" w:type="dxa"/>
        <w:top w:w="0" w:type="dxa"/>
        <w:right w:w="0" w:type="dxa"/>
        <w:bottom w:w="0" w:type="dxa"/>
      </w:tblCellMar>
    </w:tblPr>
  </w:style>
  <w:style w:type="table" w:styleId="1024" w:customStyle="1">
    <w:name w:val="List Table 5 Dark - Accent 5"/>
    <w:basedOn w:val="817"/>
    <w:uiPriority w:val="99"/>
    <w:qFormat/>
    <w:tblPr>
      <w:tblCellMar>
        <w:left w:w="0" w:type="dxa"/>
        <w:top w:w="0" w:type="dxa"/>
        <w:right w:w="0" w:type="dxa"/>
        <w:bottom w:w="0" w:type="dxa"/>
      </w:tblCellMar>
    </w:tblPr>
  </w:style>
  <w:style w:type="table" w:styleId="1025" w:customStyle="1">
    <w:name w:val="List Table 5 Dark - Accent 6"/>
    <w:basedOn w:val="817"/>
    <w:uiPriority w:val="99"/>
    <w:qFormat/>
    <w:tblPr>
      <w:tblCellMar>
        <w:left w:w="0" w:type="dxa"/>
        <w:top w:w="0" w:type="dxa"/>
        <w:right w:w="0" w:type="dxa"/>
        <w:bottom w:w="0" w:type="dxa"/>
      </w:tblCellMar>
    </w:tblPr>
  </w:style>
  <w:style w:type="table" w:styleId="1026" w:customStyle="1">
    <w:name w:val="List Table 6 Colorful"/>
    <w:basedOn w:val="817"/>
    <w:uiPriority w:val="99"/>
    <w:qFormat/>
    <w:tblPr>
      <w:tblCellMar>
        <w:left w:w="0" w:type="dxa"/>
        <w:top w:w="0" w:type="dxa"/>
        <w:right w:w="0" w:type="dxa"/>
        <w:bottom w:w="0" w:type="dxa"/>
      </w:tblCellMar>
    </w:tblPr>
  </w:style>
  <w:style w:type="table" w:styleId="1027" w:customStyle="1">
    <w:name w:val="List Table 6 Colorful - Accent 1"/>
    <w:basedOn w:val="817"/>
    <w:uiPriority w:val="99"/>
    <w:qFormat/>
    <w:tblPr>
      <w:tblCellMar>
        <w:left w:w="0" w:type="dxa"/>
        <w:top w:w="0" w:type="dxa"/>
        <w:right w:w="0" w:type="dxa"/>
        <w:bottom w:w="0" w:type="dxa"/>
      </w:tblCellMar>
    </w:tblPr>
  </w:style>
  <w:style w:type="table" w:styleId="1028" w:customStyle="1">
    <w:name w:val="List Table 6 Colorful - Accent 2"/>
    <w:basedOn w:val="817"/>
    <w:uiPriority w:val="99"/>
    <w:qFormat/>
    <w:tblPr>
      <w:tblCellMar>
        <w:left w:w="0" w:type="dxa"/>
        <w:top w:w="0" w:type="dxa"/>
        <w:right w:w="0" w:type="dxa"/>
        <w:bottom w:w="0" w:type="dxa"/>
      </w:tblCellMar>
    </w:tblPr>
  </w:style>
  <w:style w:type="table" w:styleId="1029" w:customStyle="1">
    <w:name w:val="List Table 6 Colorful - Accent 3"/>
    <w:basedOn w:val="817"/>
    <w:uiPriority w:val="99"/>
    <w:qFormat/>
    <w:tblPr>
      <w:tblCellMar>
        <w:left w:w="0" w:type="dxa"/>
        <w:top w:w="0" w:type="dxa"/>
        <w:right w:w="0" w:type="dxa"/>
        <w:bottom w:w="0" w:type="dxa"/>
      </w:tblCellMar>
    </w:tblPr>
  </w:style>
  <w:style w:type="table" w:styleId="1030" w:customStyle="1">
    <w:name w:val="List Table 6 Colorful - Accent 4"/>
    <w:basedOn w:val="817"/>
    <w:uiPriority w:val="99"/>
    <w:qFormat/>
    <w:tblPr>
      <w:tblCellMar>
        <w:left w:w="0" w:type="dxa"/>
        <w:top w:w="0" w:type="dxa"/>
        <w:right w:w="0" w:type="dxa"/>
        <w:bottom w:w="0" w:type="dxa"/>
      </w:tblCellMar>
    </w:tblPr>
  </w:style>
  <w:style w:type="table" w:styleId="1031" w:customStyle="1">
    <w:name w:val="List Table 6 Colorful - Accent 5"/>
    <w:basedOn w:val="817"/>
    <w:uiPriority w:val="99"/>
    <w:qFormat/>
    <w:tblPr>
      <w:tblCellMar>
        <w:left w:w="0" w:type="dxa"/>
        <w:top w:w="0" w:type="dxa"/>
        <w:right w:w="0" w:type="dxa"/>
        <w:bottom w:w="0" w:type="dxa"/>
      </w:tblCellMar>
    </w:tblPr>
  </w:style>
  <w:style w:type="table" w:styleId="1032" w:customStyle="1">
    <w:name w:val="List Table 6 Colorful - Accent 6"/>
    <w:basedOn w:val="817"/>
    <w:uiPriority w:val="99"/>
    <w:qFormat/>
    <w:tblPr>
      <w:tblCellMar>
        <w:left w:w="0" w:type="dxa"/>
        <w:top w:w="0" w:type="dxa"/>
        <w:right w:w="0" w:type="dxa"/>
        <w:bottom w:w="0" w:type="dxa"/>
      </w:tblCellMar>
    </w:tblPr>
  </w:style>
  <w:style w:type="table" w:styleId="1033" w:customStyle="1">
    <w:name w:val="List Table 7 Colorful"/>
    <w:basedOn w:val="817"/>
    <w:uiPriority w:val="99"/>
    <w:qFormat/>
    <w:tblPr>
      <w:tblCellMar>
        <w:left w:w="0" w:type="dxa"/>
        <w:top w:w="0" w:type="dxa"/>
        <w:right w:w="0" w:type="dxa"/>
        <w:bottom w:w="0" w:type="dxa"/>
      </w:tblCellMar>
    </w:tblPr>
  </w:style>
  <w:style w:type="table" w:styleId="1034" w:customStyle="1">
    <w:name w:val="List Table 7 Colorful - Accent 1"/>
    <w:basedOn w:val="817"/>
    <w:uiPriority w:val="99"/>
    <w:qFormat/>
    <w:tblPr>
      <w:tblCellMar>
        <w:left w:w="0" w:type="dxa"/>
        <w:top w:w="0" w:type="dxa"/>
        <w:right w:w="0" w:type="dxa"/>
        <w:bottom w:w="0" w:type="dxa"/>
      </w:tblCellMar>
    </w:tblPr>
  </w:style>
  <w:style w:type="table" w:styleId="1035" w:customStyle="1">
    <w:name w:val="List Table 7 Colorful - Accent 2"/>
    <w:basedOn w:val="817"/>
    <w:uiPriority w:val="99"/>
    <w:qFormat/>
    <w:tblPr>
      <w:tblCellMar>
        <w:left w:w="0" w:type="dxa"/>
        <w:top w:w="0" w:type="dxa"/>
        <w:right w:w="0" w:type="dxa"/>
        <w:bottom w:w="0" w:type="dxa"/>
      </w:tblCellMar>
    </w:tblPr>
  </w:style>
  <w:style w:type="table" w:styleId="1036" w:customStyle="1">
    <w:name w:val="List Table 7 Colorful - Accent 3"/>
    <w:basedOn w:val="817"/>
    <w:uiPriority w:val="99"/>
    <w:qFormat/>
    <w:tblPr>
      <w:tblCellMar>
        <w:left w:w="0" w:type="dxa"/>
        <w:top w:w="0" w:type="dxa"/>
        <w:right w:w="0" w:type="dxa"/>
        <w:bottom w:w="0" w:type="dxa"/>
      </w:tblCellMar>
    </w:tblPr>
  </w:style>
  <w:style w:type="table" w:styleId="1037" w:customStyle="1">
    <w:name w:val="List Table 7 Colorful - Accent 4"/>
    <w:basedOn w:val="817"/>
    <w:uiPriority w:val="99"/>
    <w:qFormat/>
    <w:tblPr>
      <w:tblCellMar>
        <w:left w:w="0" w:type="dxa"/>
        <w:top w:w="0" w:type="dxa"/>
        <w:right w:w="0" w:type="dxa"/>
        <w:bottom w:w="0" w:type="dxa"/>
      </w:tblCellMar>
    </w:tblPr>
  </w:style>
  <w:style w:type="table" w:styleId="1038" w:customStyle="1">
    <w:name w:val="List Table 7 Colorful - Accent 5"/>
    <w:basedOn w:val="817"/>
    <w:uiPriority w:val="99"/>
    <w:qFormat/>
    <w:tblPr>
      <w:tblCellMar>
        <w:left w:w="0" w:type="dxa"/>
        <w:top w:w="0" w:type="dxa"/>
        <w:right w:w="0" w:type="dxa"/>
        <w:bottom w:w="0" w:type="dxa"/>
      </w:tblCellMar>
    </w:tblPr>
  </w:style>
  <w:style w:type="table" w:styleId="1039" w:customStyle="1">
    <w:name w:val="List Table 7 Colorful - Accent 6"/>
    <w:basedOn w:val="817"/>
    <w:uiPriority w:val="99"/>
    <w:qFormat/>
    <w:tblPr>
      <w:tblCellMar>
        <w:left w:w="0" w:type="dxa"/>
        <w:top w:w="0" w:type="dxa"/>
        <w:right w:w="0" w:type="dxa"/>
        <w:bottom w:w="0" w:type="dxa"/>
      </w:tblCellMar>
    </w:tblPr>
  </w:style>
  <w:style w:type="table" w:styleId="1040" w:customStyle="1">
    <w:name w:val="Lined - Accent"/>
    <w:basedOn w:val="817"/>
    <w:uiPriority w:val="99"/>
    <w:qFormat/>
    <w:rPr>
      <w:color w:val="404040"/>
    </w:rPr>
    <w:tblPr>
      <w:tblCellMar>
        <w:left w:w="0" w:type="dxa"/>
        <w:top w:w="0" w:type="dxa"/>
        <w:right w:w="0" w:type="dxa"/>
        <w:bottom w:w="0" w:type="dxa"/>
      </w:tblCellMar>
    </w:tblPr>
  </w:style>
  <w:style w:type="table" w:styleId="1041" w:customStyle="1">
    <w:name w:val="Lined - Accent 1"/>
    <w:basedOn w:val="817"/>
    <w:uiPriority w:val="99"/>
    <w:qFormat/>
    <w:rPr>
      <w:color w:val="404040"/>
    </w:rPr>
    <w:tblPr>
      <w:tblCellMar>
        <w:left w:w="0" w:type="dxa"/>
        <w:top w:w="0" w:type="dxa"/>
        <w:right w:w="0" w:type="dxa"/>
        <w:bottom w:w="0" w:type="dxa"/>
      </w:tblCellMar>
    </w:tblPr>
  </w:style>
  <w:style w:type="table" w:styleId="1042" w:customStyle="1">
    <w:name w:val="Lined - Accent 2"/>
    <w:basedOn w:val="817"/>
    <w:uiPriority w:val="99"/>
    <w:qFormat/>
    <w:rPr>
      <w:color w:val="404040"/>
    </w:rPr>
    <w:tblPr>
      <w:tblCellMar>
        <w:left w:w="0" w:type="dxa"/>
        <w:top w:w="0" w:type="dxa"/>
        <w:right w:w="0" w:type="dxa"/>
        <w:bottom w:w="0" w:type="dxa"/>
      </w:tblCellMar>
    </w:tblPr>
  </w:style>
  <w:style w:type="table" w:styleId="1043" w:customStyle="1">
    <w:name w:val="Lined - Accent 3"/>
    <w:basedOn w:val="817"/>
    <w:uiPriority w:val="99"/>
    <w:qFormat/>
    <w:rPr>
      <w:color w:val="404040"/>
    </w:rPr>
    <w:tblPr>
      <w:tblCellMar>
        <w:left w:w="0" w:type="dxa"/>
        <w:top w:w="0" w:type="dxa"/>
        <w:right w:w="0" w:type="dxa"/>
        <w:bottom w:w="0" w:type="dxa"/>
      </w:tblCellMar>
    </w:tblPr>
  </w:style>
  <w:style w:type="table" w:styleId="1044" w:customStyle="1">
    <w:name w:val="Lined - Accent 4"/>
    <w:basedOn w:val="817"/>
    <w:uiPriority w:val="99"/>
    <w:qFormat/>
    <w:rPr>
      <w:color w:val="404040"/>
    </w:rPr>
    <w:tblPr>
      <w:tblCellMar>
        <w:left w:w="0" w:type="dxa"/>
        <w:top w:w="0" w:type="dxa"/>
        <w:right w:w="0" w:type="dxa"/>
        <w:bottom w:w="0" w:type="dxa"/>
      </w:tblCellMar>
    </w:tblPr>
  </w:style>
  <w:style w:type="table" w:styleId="1045" w:customStyle="1">
    <w:name w:val="Lined - Accent 5"/>
    <w:basedOn w:val="817"/>
    <w:uiPriority w:val="99"/>
    <w:qFormat/>
    <w:rPr>
      <w:color w:val="404040"/>
    </w:rPr>
    <w:tblPr>
      <w:tblCellMar>
        <w:left w:w="0" w:type="dxa"/>
        <w:top w:w="0" w:type="dxa"/>
        <w:right w:w="0" w:type="dxa"/>
        <w:bottom w:w="0" w:type="dxa"/>
      </w:tblCellMar>
    </w:tblPr>
  </w:style>
  <w:style w:type="table" w:styleId="1046" w:customStyle="1">
    <w:name w:val="Lined - Accent 6"/>
    <w:basedOn w:val="817"/>
    <w:uiPriority w:val="99"/>
    <w:qFormat/>
    <w:rPr>
      <w:color w:val="404040"/>
    </w:rPr>
    <w:tblPr>
      <w:tblCellMar>
        <w:left w:w="0" w:type="dxa"/>
        <w:top w:w="0" w:type="dxa"/>
        <w:right w:w="0" w:type="dxa"/>
        <w:bottom w:w="0" w:type="dxa"/>
      </w:tblCellMar>
    </w:tblPr>
  </w:style>
  <w:style w:type="table" w:styleId="1047" w:customStyle="1">
    <w:name w:val="Bordered &amp; Lined - Accent"/>
    <w:basedOn w:val="817"/>
    <w:uiPriority w:val="99"/>
    <w:qFormat/>
    <w:rPr>
      <w:color w:val="404040"/>
    </w:rPr>
    <w:tblPr>
      <w:tblCellMar>
        <w:left w:w="0" w:type="dxa"/>
        <w:top w:w="0" w:type="dxa"/>
        <w:right w:w="0" w:type="dxa"/>
        <w:bottom w:w="0" w:type="dxa"/>
      </w:tblCellMar>
    </w:tblPr>
  </w:style>
  <w:style w:type="table" w:styleId="1048" w:customStyle="1">
    <w:name w:val="Bordered &amp; Lined - Accent 1"/>
    <w:basedOn w:val="817"/>
    <w:uiPriority w:val="99"/>
    <w:qFormat/>
    <w:rPr>
      <w:color w:val="404040"/>
    </w:rPr>
    <w:tblPr>
      <w:tblCellMar>
        <w:left w:w="0" w:type="dxa"/>
        <w:top w:w="0" w:type="dxa"/>
        <w:right w:w="0" w:type="dxa"/>
        <w:bottom w:w="0" w:type="dxa"/>
      </w:tblCellMar>
    </w:tblPr>
  </w:style>
  <w:style w:type="table" w:styleId="1049" w:customStyle="1">
    <w:name w:val="Bordered &amp; Lined - Accent 2"/>
    <w:basedOn w:val="817"/>
    <w:uiPriority w:val="99"/>
    <w:qFormat/>
    <w:rPr>
      <w:color w:val="404040"/>
    </w:rPr>
    <w:tblPr>
      <w:tblCellMar>
        <w:left w:w="0" w:type="dxa"/>
        <w:top w:w="0" w:type="dxa"/>
        <w:right w:w="0" w:type="dxa"/>
        <w:bottom w:w="0" w:type="dxa"/>
      </w:tblCellMar>
    </w:tblPr>
  </w:style>
  <w:style w:type="table" w:styleId="1050" w:customStyle="1">
    <w:name w:val="Bordered &amp; Lined - Accent 3"/>
    <w:basedOn w:val="817"/>
    <w:uiPriority w:val="99"/>
    <w:qFormat/>
    <w:rPr>
      <w:color w:val="404040"/>
    </w:rPr>
    <w:tblPr>
      <w:tblCellMar>
        <w:left w:w="0" w:type="dxa"/>
        <w:top w:w="0" w:type="dxa"/>
        <w:right w:w="0" w:type="dxa"/>
        <w:bottom w:w="0" w:type="dxa"/>
      </w:tblCellMar>
    </w:tblPr>
  </w:style>
  <w:style w:type="table" w:styleId="1051" w:customStyle="1">
    <w:name w:val="Bordered &amp; Lined - Accent 4"/>
    <w:basedOn w:val="817"/>
    <w:uiPriority w:val="99"/>
    <w:qFormat/>
    <w:rPr>
      <w:color w:val="404040"/>
    </w:rPr>
    <w:tblPr>
      <w:tblCellMar>
        <w:left w:w="0" w:type="dxa"/>
        <w:top w:w="0" w:type="dxa"/>
        <w:right w:w="0" w:type="dxa"/>
        <w:bottom w:w="0" w:type="dxa"/>
      </w:tblCellMar>
    </w:tblPr>
  </w:style>
  <w:style w:type="table" w:styleId="1052" w:customStyle="1">
    <w:name w:val="Bordered &amp; Lined - Accent 5"/>
    <w:basedOn w:val="817"/>
    <w:uiPriority w:val="99"/>
    <w:qFormat/>
    <w:rPr>
      <w:color w:val="404040"/>
    </w:rPr>
    <w:tblPr>
      <w:tblCellMar>
        <w:left w:w="0" w:type="dxa"/>
        <w:top w:w="0" w:type="dxa"/>
        <w:right w:w="0" w:type="dxa"/>
        <w:bottom w:w="0" w:type="dxa"/>
      </w:tblCellMar>
    </w:tblPr>
  </w:style>
  <w:style w:type="table" w:styleId="1053" w:customStyle="1">
    <w:name w:val="Bordered &amp; Lined - Accent 6"/>
    <w:basedOn w:val="817"/>
    <w:uiPriority w:val="99"/>
    <w:qFormat/>
    <w:rPr>
      <w:color w:val="404040"/>
    </w:rPr>
    <w:tblPr>
      <w:tblCellMar>
        <w:left w:w="0" w:type="dxa"/>
        <w:top w:w="0" w:type="dxa"/>
        <w:right w:w="0" w:type="dxa"/>
        <w:bottom w:w="0" w:type="dxa"/>
      </w:tblCellMar>
    </w:tblPr>
  </w:style>
  <w:style w:type="table" w:styleId="1054" w:customStyle="1">
    <w:name w:val="Bordered"/>
    <w:basedOn w:val="817"/>
    <w:uiPriority w:val="99"/>
    <w:qFormat/>
    <w:tblPr>
      <w:tblCellMar>
        <w:left w:w="0" w:type="dxa"/>
        <w:top w:w="0" w:type="dxa"/>
        <w:right w:w="0" w:type="dxa"/>
        <w:bottom w:w="0" w:type="dxa"/>
      </w:tblCellMar>
    </w:tblPr>
  </w:style>
  <w:style w:type="table" w:styleId="1055" w:customStyle="1">
    <w:name w:val="Bordered - Accent 1"/>
    <w:basedOn w:val="817"/>
    <w:uiPriority w:val="99"/>
    <w:qFormat/>
    <w:tblPr>
      <w:tblCellMar>
        <w:left w:w="0" w:type="dxa"/>
        <w:top w:w="0" w:type="dxa"/>
        <w:right w:w="0" w:type="dxa"/>
        <w:bottom w:w="0" w:type="dxa"/>
      </w:tblCellMar>
    </w:tblPr>
  </w:style>
  <w:style w:type="table" w:styleId="1056" w:customStyle="1">
    <w:name w:val="Bordered - Accent 2"/>
    <w:basedOn w:val="817"/>
    <w:uiPriority w:val="99"/>
    <w:qFormat/>
    <w:tblPr>
      <w:tblCellMar>
        <w:left w:w="0" w:type="dxa"/>
        <w:top w:w="0" w:type="dxa"/>
        <w:right w:w="0" w:type="dxa"/>
        <w:bottom w:w="0" w:type="dxa"/>
      </w:tblCellMar>
    </w:tblPr>
  </w:style>
  <w:style w:type="table" w:styleId="1057" w:customStyle="1">
    <w:name w:val="Bordered - Accent 3"/>
    <w:basedOn w:val="817"/>
    <w:uiPriority w:val="99"/>
    <w:qFormat/>
    <w:tblPr>
      <w:tblCellMar>
        <w:left w:w="0" w:type="dxa"/>
        <w:top w:w="0" w:type="dxa"/>
        <w:right w:w="0" w:type="dxa"/>
        <w:bottom w:w="0" w:type="dxa"/>
      </w:tblCellMar>
    </w:tblPr>
  </w:style>
  <w:style w:type="table" w:styleId="1058" w:customStyle="1">
    <w:name w:val="Bordered - Accent 4"/>
    <w:basedOn w:val="817"/>
    <w:uiPriority w:val="99"/>
    <w:qFormat/>
    <w:tblPr>
      <w:tblCellMar>
        <w:left w:w="0" w:type="dxa"/>
        <w:top w:w="0" w:type="dxa"/>
        <w:right w:w="0" w:type="dxa"/>
        <w:bottom w:w="0" w:type="dxa"/>
      </w:tblCellMar>
    </w:tblPr>
  </w:style>
  <w:style w:type="table" w:styleId="1059" w:customStyle="1">
    <w:name w:val="Bordered - Accent 5"/>
    <w:basedOn w:val="817"/>
    <w:uiPriority w:val="99"/>
    <w:qFormat/>
    <w:tblPr>
      <w:tblCellMar>
        <w:left w:w="0" w:type="dxa"/>
        <w:top w:w="0" w:type="dxa"/>
        <w:right w:w="0" w:type="dxa"/>
        <w:bottom w:w="0" w:type="dxa"/>
      </w:tblCellMar>
    </w:tblPr>
  </w:style>
  <w:style w:type="table" w:styleId="1060" w:customStyle="1">
    <w:name w:val="Bordered - Accent 6"/>
    <w:basedOn w:val="817"/>
    <w:uiPriority w:val="99"/>
    <w:qFormat/>
    <w:tblPr>
      <w:tblCellMar>
        <w:left w:w="0" w:type="dxa"/>
        <w:top w:w="0" w:type="dxa"/>
        <w:right w:w="0" w:type="dxa"/>
        <w:bottom w:w="0" w:type="dxa"/>
      </w:tblCellMar>
    </w:tblPr>
  </w:style>
  <w:style w:type="character" w:styleId="1061" w:customStyle="1">
    <w:name w:val="Footnote Text Char"/>
    <w:uiPriority w:val="99"/>
    <w:qFormat/>
    <w:rPr>
      <w:sz w:val="18"/>
    </w:rPr>
  </w:style>
  <w:style w:type="character" w:styleId="1062" w:customStyle="1">
    <w:name w:val="Endnote Text Char"/>
    <w:uiPriority w:val="99"/>
    <w:qFormat/>
    <w:rPr>
      <w:sz w:val="20"/>
    </w:rPr>
  </w:style>
  <w:style w:type="paragraph" w:styleId="1063" w:customStyle="1">
    <w:name w:val="TOC 标题2"/>
    <w:uiPriority w:val="39"/>
    <w:qFormat/>
    <w:rPr>
      <w:rFonts w:ascii="Times New Roman" w:hAnsi="Times New Roman" w:eastAsia="宋体" w:cs="Times New Roman"/>
      <w:lang w:val="en-US" w:eastAsia="zh-CN" w:bidi="ar-SA"/>
    </w:rPr>
  </w:style>
  <w:style w:type="character" w:styleId="1064" w:customStyle="1">
    <w:name w:val="标题 1 Char3"/>
    <w:link w:val="754"/>
    <w:uiPriority w:val="0"/>
    <w:qFormat/>
    <w:rPr>
      <w:rFonts w:ascii="楷体_GB2312" w:hAnsi="Times New Roman" w:eastAsia="楷体_GB2312" w:cs="Times New Roman"/>
      <w:sz w:val="28"/>
      <w:szCs w:val="20"/>
    </w:rPr>
  </w:style>
  <w:style w:type="character" w:styleId="1065" w:customStyle="1">
    <w:name w:val="标题 3 Char3"/>
    <w:link w:val="756"/>
    <w:uiPriority w:val="0"/>
    <w:qFormat/>
    <w:rPr>
      <w:rFonts w:ascii="Times New Roman" w:hAnsi="Times New Roman" w:eastAsia="宋体" w:cs="Times New Roman"/>
      <w:b/>
      <w:sz w:val="32"/>
      <w:szCs w:val="20"/>
    </w:rPr>
  </w:style>
  <w:style w:type="character" w:styleId="1066" w:customStyle="1">
    <w:name w:val="标题 4 Char3"/>
    <w:link w:val="757"/>
    <w:uiPriority w:val="0"/>
    <w:qFormat/>
    <w:rPr>
      <w:rFonts w:ascii="Arial" w:hAnsi="Arial" w:eastAsia="黑体" w:cs="Times New Roman"/>
      <w:b/>
      <w:bCs/>
      <w:sz w:val="28"/>
      <w:szCs w:val="28"/>
    </w:rPr>
  </w:style>
  <w:style w:type="character" w:styleId="1067" w:customStyle="1">
    <w:name w:val="标题 5 Char3"/>
    <w:link w:val="758"/>
    <w:uiPriority w:val="0"/>
    <w:qFormat/>
    <w:rPr>
      <w:rFonts w:ascii="宋体" w:hAnsi="Times New Roman" w:eastAsia="宋体" w:cs="Times New Roman"/>
      <w:b/>
      <w:spacing w:val="-2"/>
      <w:position w:val="-6"/>
      <w:sz w:val="28"/>
      <w:szCs w:val="20"/>
    </w:rPr>
  </w:style>
  <w:style w:type="character" w:styleId="1068" w:customStyle="1">
    <w:name w:val="标题 6 Char3"/>
    <w:link w:val="759"/>
    <w:uiPriority w:val="0"/>
    <w:qFormat/>
    <w:rPr>
      <w:rFonts w:ascii="Arial" w:hAnsi="Arial" w:eastAsia="黑体" w:cs="Times New Roman"/>
      <w:b/>
      <w:spacing w:val="-2"/>
      <w:position w:val="-6"/>
      <w:sz w:val="24"/>
      <w:szCs w:val="20"/>
    </w:rPr>
  </w:style>
  <w:style w:type="character" w:styleId="1069" w:customStyle="1">
    <w:name w:val="标题 7 Char3"/>
    <w:link w:val="760"/>
    <w:uiPriority w:val="0"/>
    <w:qFormat/>
    <w:rPr>
      <w:rFonts w:ascii="宋体" w:hAnsi="Times New Roman" w:eastAsia="宋体" w:cs="Times New Roman"/>
      <w:b/>
      <w:spacing w:val="-2"/>
      <w:position w:val="-6"/>
      <w:sz w:val="24"/>
      <w:szCs w:val="20"/>
    </w:rPr>
  </w:style>
  <w:style w:type="character" w:styleId="1070" w:customStyle="1">
    <w:name w:val="标题 8 Char2"/>
    <w:link w:val="761"/>
    <w:uiPriority w:val="0"/>
    <w:qFormat/>
    <w:rPr>
      <w:rFonts w:ascii="Arial" w:hAnsi="Arial" w:eastAsia="黑体" w:cs="Times New Roman"/>
      <w:spacing w:val="-2"/>
      <w:position w:val="-6"/>
      <w:sz w:val="24"/>
      <w:szCs w:val="20"/>
    </w:rPr>
  </w:style>
  <w:style w:type="character" w:styleId="1071" w:customStyle="1">
    <w:name w:val="标题 9 Char3"/>
    <w:link w:val="762"/>
    <w:uiPriority w:val="0"/>
    <w:qFormat/>
    <w:rPr>
      <w:rFonts w:ascii="Arial" w:hAnsi="Arial" w:eastAsia="黑体" w:cs="Times New Roman"/>
      <w:spacing w:val="-2"/>
      <w:position w:val="-6"/>
      <w:sz w:val="28"/>
      <w:szCs w:val="20"/>
    </w:rPr>
  </w:style>
  <w:style w:type="paragraph" w:styleId="1072" w:customStyle="1">
    <w:name w:val="Caption1"/>
    <w:basedOn w:val="753"/>
    <w:next w:val="753"/>
    <w:link w:val="1073"/>
    <w:uiPriority w:val="0"/>
    <w:qFormat/>
    <w:rPr>
      <w:rFonts w:ascii="Cambria" w:hAnsi="Cambria" w:eastAsia="黑体"/>
      <w:sz w:val="20"/>
      <w:szCs w:val="20"/>
      <w:lang w:eastAsia="en-US"/>
    </w:rPr>
  </w:style>
  <w:style w:type="character" w:styleId="1073" w:customStyle="1">
    <w:name w:val="题注 Char"/>
    <w:link w:val="1072"/>
    <w:uiPriority w:val="0"/>
    <w:qFormat/>
    <w:rPr>
      <w:rFonts w:ascii="Cambria" w:hAnsi="Cambria" w:eastAsia="黑体"/>
    </w:rPr>
  </w:style>
  <w:style w:type="paragraph" w:styleId="1074" w:customStyle="1">
    <w:name w:val="Footer1"/>
    <w:basedOn w:val="753"/>
    <w:link w:val="1075"/>
    <w:uiPriority w:val="99"/>
    <w:unhideWhenUsed/>
    <w:qFormat/>
    <w:pPr>
      <w:jc w:val="left"/>
      <w:tabs>
        <w:tab w:val="center" w:pos="4153" w:leader="none"/>
        <w:tab w:val="right" w:pos="8306" w:leader="none"/>
      </w:tabs>
    </w:pPr>
    <w:rPr>
      <w:sz w:val="18"/>
      <w:szCs w:val="18"/>
    </w:rPr>
  </w:style>
  <w:style w:type="character" w:styleId="1075" w:customStyle="1">
    <w:name w:val="页脚 Char"/>
    <w:basedOn w:val="816"/>
    <w:link w:val="1074"/>
    <w:uiPriority w:val="99"/>
    <w:qFormat/>
    <w:rPr>
      <w:rFonts w:ascii="Times New Roman" w:hAnsi="Times New Roman" w:eastAsia="宋体" w:cs="Times New Roman"/>
      <w:sz w:val="18"/>
      <w:szCs w:val="18"/>
    </w:rPr>
  </w:style>
  <w:style w:type="paragraph" w:styleId="1076" w:customStyle="1">
    <w:name w:val="Header1"/>
    <w:basedOn w:val="753"/>
    <w:link w:val="10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Char"/>
    <w:basedOn w:val="816"/>
    <w:link w:val="1076"/>
    <w:uiPriority w:val="99"/>
    <w:qFormat/>
    <w:rPr>
      <w:rFonts w:ascii="Times New Roman" w:hAnsi="Times New Roman" w:eastAsia="宋体" w:cs="Times New Roman"/>
      <w:sz w:val="18"/>
      <w:szCs w:val="18"/>
    </w:rPr>
  </w:style>
  <w:style w:type="paragraph" w:styleId="1078" w:customStyle="1">
    <w:name w:val="列出段落1"/>
    <w:basedOn w:val="753"/>
    <w:link w:val="1079"/>
    <w:uiPriority w:val="34"/>
    <w:qFormat/>
    <w:pPr>
      <w:ind w:firstLine="420"/>
    </w:pPr>
    <w:rPr>
      <w:sz w:val="20"/>
      <w:lang w:eastAsia="en-US"/>
    </w:rPr>
  </w:style>
  <w:style w:type="character" w:styleId="1079" w:customStyle="1">
    <w:name w:val="列出段落 Char"/>
    <w:link w:val="1078"/>
    <w:uiPriority w:val="34"/>
    <w:qFormat/>
    <w:rPr>
      <w:rFonts w:ascii="Times New Roman" w:hAnsi="Times New Roman" w:eastAsia="宋体" w:cs="Times New Roman"/>
      <w:szCs w:val="24"/>
    </w:rPr>
  </w:style>
  <w:style w:type="paragraph" w:styleId="1080" w:customStyle="1">
    <w:name w:val="_Style 18"/>
    <w:basedOn w:val="753"/>
    <w:next w:val="1078"/>
    <w:uiPriority w:val="34"/>
    <w:qFormat/>
    <w:pPr>
      <w:ind w:firstLine="420"/>
    </w:pPr>
    <w:rPr>
      <w:rFonts w:ascii="Calibri" w:hAnsi="Calibri"/>
      <w:szCs w:val="22"/>
    </w:rPr>
  </w:style>
  <w:style w:type="character" w:styleId="1081" w:customStyle="1">
    <w:name w:val="htd0"/>
    <w:basedOn w:val="816"/>
    <w:uiPriority w:val="0"/>
    <w:qFormat/>
  </w:style>
  <w:style w:type="character" w:styleId="1082" w:customStyle="1">
    <w:name w:val="标题 1 Char"/>
    <w:basedOn w:val="816"/>
    <w:uiPriority w:val="0"/>
    <w:qFormat/>
    <w:rPr>
      <w:rFonts w:ascii="Times New Roman" w:hAnsi="Times New Roman" w:eastAsia="宋体" w:cs="Times New Roman"/>
      <w:b/>
      <w:bCs/>
      <w:sz w:val="44"/>
      <w:szCs w:val="44"/>
    </w:rPr>
  </w:style>
  <w:style w:type="character" w:styleId="1083" w:customStyle="1">
    <w:name w:val="标题 3 Char"/>
    <w:basedOn w:val="816"/>
    <w:uiPriority w:val="9"/>
    <w:qFormat/>
    <w:rPr>
      <w:rFonts w:ascii="Times New Roman" w:hAnsi="Times New Roman" w:eastAsia="宋体" w:cs="Times New Roman"/>
      <w:b/>
      <w:bCs/>
      <w:sz w:val="32"/>
      <w:szCs w:val="32"/>
    </w:rPr>
  </w:style>
  <w:style w:type="character" w:styleId="1084" w:customStyle="1">
    <w:name w:val="标题 4 Char"/>
    <w:basedOn w:val="816"/>
    <w:uiPriority w:val="9"/>
    <w:semiHidden/>
    <w:qFormat/>
    <w:rPr>
      <w:rFonts w:ascii="等线 Light" w:hAnsi="等线 Light" w:eastAsia="Arial" w:cs="Arial"/>
      <w:b/>
      <w:bCs/>
      <w:sz w:val="28"/>
      <w:szCs w:val="28"/>
    </w:rPr>
  </w:style>
  <w:style w:type="character" w:styleId="1085" w:customStyle="1">
    <w:name w:val="标题 5 Char"/>
    <w:basedOn w:val="816"/>
    <w:uiPriority w:val="0"/>
    <w:semiHidden/>
    <w:qFormat/>
    <w:rPr>
      <w:rFonts w:ascii="Times New Roman" w:hAnsi="Times New Roman" w:eastAsia="宋体" w:cs="Times New Roman"/>
      <w:b/>
      <w:bCs/>
      <w:sz w:val="28"/>
      <w:szCs w:val="28"/>
    </w:rPr>
  </w:style>
  <w:style w:type="character" w:styleId="1086" w:customStyle="1">
    <w:name w:val="标题 6 Char"/>
    <w:basedOn w:val="816"/>
    <w:uiPriority w:val="9"/>
    <w:semiHidden/>
    <w:qFormat/>
    <w:rPr>
      <w:rFonts w:ascii="等线 Light" w:hAnsi="等线 Light" w:eastAsia="Arial" w:cs="Arial"/>
      <w:b/>
      <w:bCs/>
      <w:sz w:val="24"/>
      <w:szCs w:val="24"/>
    </w:rPr>
  </w:style>
  <w:style w:type="character" w:styleId="1087" w:customStyle="1">
    <w:name w:val="标题 7 Char"/>
    <w:basedOn w:val="816"/>
    <w:uiPriority w:val="9"/>
    <w:semiHidden/>
    <w:qFormat/>
    <w:rPr>
      <w:rFonts w:ascii="Times New Roman" w:hAnsi="Times New Roman" w:eastAsia="宋体" w:cs="Times New Roman"/>
      <w:b/>
      <w:bCs/>
      <w:sz w:val="24"/>
      <w:szCs w:val="24"/>
    </w:rPr>
  </w:style>
  <w:style w:type="character" w:styleId="1088" w:customStyle="1">
    <w:name w:val="标题 8 Char"/>
    <w:basedOn w:val="816"/>
    <w:uiPriority w:val="9"/>
    <w:semiHidden/>
    <w:qFormat/>
    <w:rPr>
      <w:rFonts w:ascii="等线 Light" w:hAnsi="等线 Light" w:eastAsia="Arial" w:cs="Arial"/>
      <w:sz w:val="24"/>
      <w:szCs w:val="24"/>
    </w:rPr>
  </w:style>
  <w:style w:type="character" w:styleId="1089" w:customStyle="1">
    <w:name w:val="标题 9 Char"/>
    <w:basedOn w:val="816"/>
    <w:uiPriority w:val="9"/>
    <w:semiHidden/>
    <w:qFormat/>
    <w:rPr>
      <w:rFonts w:ascii="等线 Light" w:hAnsi="等线 Light" w:eastAsia="Arial" w:cs="Arial"/>
      <w:szCs w:val="21"/>
    </w:rPr>
  </w:style>
  <w:style w:type="paragraph" w:styleId="1090" w:customStyle="1">
    <w:name w:val="_Style 31"/>
    <w:basedOn w:val="753"/>
    <w:next w:val="1078"/>
    <w:uiPriority w:val="34"/>
    <w:qFormat/>
    <w:pPr>
      <w:ind w:firstLine="420"/>
    </w:pPr>
    <w:rPr>
      <w:rFonts w:ascii="Calibri" w:hAnsi="Calibri"/>
      <w:szCs w:val="22"/>
    </w:rPr>
  </w:style>
  <w:style w:type="character" w:styleId="1091" w:customStyle="1">
    <w:name w:val="style31"/>
    <w:uiPriority w:val="0"/>
    <w:qFormat/>
    <w:rPr>
      <w:sz w:val="21"/>
      <w:szCs w:val="21"/>
    </w:rPr>
  </w:style>
  <w:style w:type="character" w:styleId="1092" w:customStyle="1">
    <w:name w:val="页脚 字符"/>
    <w:uiPriority w:val="99"/>
    <w:qFormat/>
    <w:rPr>
      <w:sz w:val="18"/>
    </w:rPr>
  </w:style>
  <w:style w:type="character" w:styleId="1093" w:customStyle="1">
    <w:name w:val="正文文本缩进 Char4"/>
    <w:uiPriority w:val="0"/>
    <w:qFormat/>
    <w:rPr>
      <w:rFonts w:ascii="楷体_GB2312" w:eastAsia="楷体_GB2312"/>
      <w:sz w:val="32"/>
    </w:rPr>
  </w:style>
  <w:style w:type="character" w:styleId="1094" w:customStyle="1">
    <w:name w:val="普通文字 Char Char Char"/>
    <w:uiPriority w:val="0"/>
    <w:qFormat/>
    <w:rPr>
      <w:rFonts w:ascii="宋体" w:hAnsi="Courier New" w:eastAsia="宋体" w:cs="Courier New"/>
      <w:sz w:val="21"/>
      <w:szCs w:val="21"/>
      <w:lang w:val="en-US" w:eastAsia="zh-CN" w:bidi="ar-SA"/>
    </w:rPr>
  </w:style>
  <w:style w:type="character" w:styleId="1095" w:customStyle="1">
    <w:name w:val="段落 Char1"/>
    <w:link w:val="1096"/>
    <w:uiPriority w:val="0"/>
    <w:qFormat/>
    <w:rPr>
      <w:rFonts w:ascii="等线" w:hAnsi="等线" w:eastAsia="仿宋_GB2312" w:cs="Arial"/>
      <w:sz w:val="24"/>
      <w:szCs w:val="24"/>
      <w:lang w:val="en-US" w:eastAsia="zh-CN" w:bidi="ar-SA"/>
    </w:rPr>
  </w:style>
  <w:style w:type="paragraph" w:styleId="1096" w:customStyle="1">
    <w:name w:val="段落"/>
    <w:link w:val="1095"/>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97" w:customStyle="1">
    <w:name w:val="批注框文本 Char4"/>
    <w:uiPriority w:val="0"/>
    <w:qFormat/>
    <w:rPr>
      <w:sz w:val="18"/>
      <w:szCs w:val="18"/>
    </w:rPr>
  </w:style>
  <w:style w:type="character" w:styleId="1098" w:customStyle="1">
    <w:name w:val="纯文本 Char3"/>
    <w:uiPriority w:val="0"/>
    <w:qFormat/>
    <w:rPr>
      <w:rFonts w:ascii="宋体" w:hAnsi="Courier New" w:cs="Courier New"/>
      <w:szCs w:val="21"/>
    </w:rPr>
  </w:style>
  <w:style w:type="character" w:styleId="1099" w:customStyle="1">
    <w:name w:val="_正文段落 Char Char"/>
    <w:link w:val="1100"/>
    <w:uiPriority w:val="0"/>
    <w:qFormat/>
    <w:rPr>
      <w:rFonts w:ascii="宋体" w:hAnsi="宋体"/>
      <w:sz w:val="24"/>
      <w:szCs w:val="28"/>
    </w:rPr>
  </w:style>
  <w:style w:type="paragraph" w:styleId="1100" w:customStyle="1">
    <w:name w:val="_正文段落"/>
    <w:basedOn w:val="753"/>
    <w:link w:val="1099"/>
    <w:uiPriority w:val="0"/>
    <w:qFormat/>
    <w:pPr>
      <w:ind w:firstLine="480"/>
      <w:spacing w:line="360" w:lineRule="auto"/>
    </w:pPr>
    <w:rPr>
      <w:rFonts w:ascii="宋体" w:hAnsi="宋体"/>
      <w:sz w:val="24"/>
      <w:szCs w:val="28"/>
      <w:lang w:eastAsia="en-US"/>
    </w:rPr>
  </w:style>
  <w:style w:type="character" w:styleId="1101" w:customStyle="1">
    <w:name w:val="正文文本 Char4"/>
    <w:uiPriority w:val="0"/>
    <w:qFormat/>
    <w:rPr>
      <w:rFonts w:ascii="楷体_GB2312" w:hAnsi="Arial" w:eastAsia="楷体_GB2312"/>
      <w:sz w:val="28"/>
    </w:rPr>
  </w:style>
  <w:style w:type="character" w:styleId="1102" w:customStyle="1">
    <w:name w:val="标题 2 字符"/>
    <w:uiPriority w:val="0"/>
    <w:qFormat/>
    <w:rPr>
      <w:rFonts w:ascii="幼圆" w:hAnsi="Arial" w:eastAsia="楷体_GB2312"/>
      <w:b/>
      <w:sz w:val="44"/>
    </w:rPr>
  </w:style>
  <w:style w:type="character" w:styleId="1103" w:customStyle="1">
    <w:name w:val="font"/>
    <w:basedOn w:val="816"/>
    <w:uiPriority w:val="0"/>
    <w:qFormat/>
  </w:style>
  <w:style w:type="character" w:styleId="1104" w:customStyle="1">
    <w:name w:val="pt9-hui-line201"/>
    <w:uiPriority w:val="0"/>
    <w:qFormat/>
    <w:rPr>
      <w:color w:val="333333"/>
      <w:spacing w:val="300"/>
      <w:sz w:val="18"/>
      <w:szCs w:val="18"/>
      <w:u w:val="none"/>
    </w:rPr>
  </w:style>
  <w:style w:type="character" w:styleId="1105" w:customStyle="1">
    <w:name w:val="正文文本缩进 2 Char4"/>
    <w:uiPriority w:val="0"/>
    <w:qFormat/>
    <w:rPr>
      <w:rFonts w:ascii="楷体_GB2312" w:eastAsia="楷体_GB2312"/>
      <w:sz w:val="28"/>
      <w:szCs w:val="28"/>
    </w:rPr>
  </w:style>
  <w:style w:type="character" w:styleId="1106" w:customStyle="1">
    <w:name w:val="批注主题 Char4"/>
    <w:uiPriority w:val="99"/>
    <w:qFormat/>
    <w:rPr>
      <w:rFonts w:ascii="Calibri" w:hAnsi="Calibri"/>
      <w:b/>
      <w:bCs/>
    </w:rPr>
  </w:style>
  <w:style w:type="character" w:styleId="1107" w:customStyle="1">
    <w:name w:val="批注文字 Char4"/>
    <w:uiPriority w:val="99"/>
    <w:qFormat/>
    <w:rPr>
      <w:rFonts w:ascii="Calibri" w:hAnsi="Calibri"/>
    </w:rPr>
  </w:style>
  <w:style w:type="character" w:styleId="1108" w:customStyle="1">
    <w:name w:val="样式 正文文本缩进 + 左  0 字符 Char Char"/>
    <w:link w:val="1109"/>
    <w:uiPriority w:val="0"/>
    <w:qFormat/>
    <w:rPr>
      <w:rFonts w:cs="宋体"/>
      <w:sz w:val="24"/>
    </w:rPr>
  </w:style>
  <w:style w:type="paragraph" w:styleId="1109" w:customStyle="1">
    <w:name w:val="样式 正文文本缩进 + 左  0 字符"/>
    <w:basedOn w:val="841"/>
    <w:link w:val="1108"/>
    <w:uiPriority w:val="0"/>
    <w:qFormat/>
    <w:pPr>
      <w:ind w:firstLine="250"/>
      <w:spacing w:line="360" w:lineRule="auto"/>
    </w:pPr>
    <w:rPr>
      <w:rFonts w:ascii="Times New Roman" w:hAnsi="Times New Roman" w:eastAsia="宋体" w:cs="Times New Roman"/>
      <w:sz w:val="24"/>
      <w:szCs w:val="20"/>
      <w:lang w:eastAsia="en-US"/>
    </w:rPr>
  </w:style>
  <w:style w:type="character" w:styleId="1110" w:customStyle="1">
    <w:name w:val="带缩进的正文 Char Char"/>
    <w:link w:val="1111"/>
    <w:uiPriority w:val="0"/>
    <w:qFormat/>
    <w:rPr>
      <w:rFonts w:ascii="Calibri" w:hAnsi="Calibri"/>
      <w:sz w:val="24"/>
    </w:rPr>
  </w:style>
  <w:style w:type="paragraph" w:styleId="1111" w:customStyle="1">
    <w:name w:val="带缩进的正文"/>
    <w:basedOn w:val="753"/>
    <w:link w:val="1110"/>
    <w:uiPriority w:val="0"/>
    <w:qFormat/>
    <w:pPr>
      <w:ind w:firstLine="480"/>
      <w:spacing w:line="360" w:lineRule="auto"/>
    </w:pPr>
    <w:rPr>
      <w:rFonts w:ascii="Calibri" w:hAnsi="Calibri"/>
      <w:sz w:val="24"/>
      <w:szCs w:val="20"/>
      <w:lang w:eastAsia="en-US"/>
    </w:rPr>
  </w:style>
  <w:style w:type="character" w:styleId="1112" w:customStyle="1">
    <w:name w:val="bodybold1"/>
    <w:uiPriority w:val="0"/>
    <w:qFormat/>
    <w:rPr>
      <w:rFonts w:ascii="Taipei" w:hAnsi="Taipei"/>
      <w:b/>
      <w:bCs/>
      <w:color w:val="0066ff"/>
      <w:sz w:val="26"/>
      <w:szCs w:val="26"/>
      <w:u w:val="none"/>
    </w:rPr>
  </w:style>
  <w:style w:type="character" w:styleId="1113" w:customStyle="1">
    <w:name w:val="flname8"/>
    <w:basedOn w:val="816"/>
    <w:uiPriority w:val="0"/>
    <w:qFormat/>
  </w:style>
  <w:style w:type="character" w:styleId="1114" w:customStyle="1">
    <w:name w:val="正文（首行缩进两字） Char Char"/>
    <w:uiPriority w:val="0"/>
    <w:qFormat/>
    <w:rPr>
      <w:rFonts w:eastAsia="宋体"/>
      <w:sz w:val="24"/>
      <w:lang w:val="en-US" w:eastAsia="zh-CN" w:bidi="ar-SA"/>
    </w:rPr>
  </w:style>
  <w:style w:type="character" w:styleId="1115" w:customStyle="1">
    <w:name w:val="标题 3 Char Char"/>
    <w:uiPriority w:val="0"/>
    <w:qFormat/>
    <w:rPr>
      <w:rFonts w:eastAsia="宋体"/>
      <w:b/>
      <w:sz w:val="32"/>
      <w:lang w:val="en-US" w:eastAsia="zh-CN" w:bidi="ar-SA"/>
    </w:rPr>
  </w:style>
  <w:style w:type="character" w:styleId="1116" w:customStyle="1">
    <w:name w:val="样式6 Char Char"/>
    <w:link w:val="1117"/>
    <w:uiPriority w:val="0"/>
    <w:qFormat/>
    <w:rPr>
      <w:rFonts w:ascii="宋体" w:hAnsi="宋体"/>
      <w:sz w:val="28"/>
      <w:szCs w:val="28"/>
    </w:rPr>
  </w:style>
  <w:style w:type="paragraph" w:styleId="1117" w:customStyle="1">
    <w:name w:val="样式6"/>
    <w:basedOn w:val="753"/>
    <w:link w:val="1116"/>
    <w:uiPriority w:val="0"/>
    <w:qFormat/>
    <w:pPr>
      <w:ind w:left="980" w:hanging="420"/>
      <w:spacing w:line="360" w:lineRule="auto"/>
    </w:pPr>
    <w:rPr>
      <w:rFonts w:ascii="宋体" w:hAnsi="宋体"/>
      <w:sz w:val="28"/>
      <w:szCs w:val="28"/>
      <w:lang w:eastAsia="en-US"/>
    </w:rPr>
  </w:style>
  <w:style w:type="character" w:styleId="1118" w:customStyle="1">
    <w:name w:val="页眉 字符"/>
    <w:uiPriority w:val="99"/>
    <w:qFormat/>
    <w:rPr>
      <w:sz w:val="18"/>
      <w:szCs w:val="18"/>
    </w:rPr>
  </w:style>
  <w:style w:type="character" w:styleId="1119" w:customStyle="1">
    <w:name w:val="WW8Num11z1"/>
    <w:uiPriority w:val="0"/>
    <w:qFormat/>
    <w:rPr>
      <w:rFonts w:ascii="Wingdings" w:hAnsi="Wingdings"/>
    </w:rPr>
  </w:style>
  <w:style w:type="character" w:styleId="1120" w:customStyle="1">
    <w:name w:val="样式 正文缩进 + 首行缩进:  2 字符 Char Char"/>
    <w:link w:val="1121"/>
    <w:uiPriority w:val="0"/>
    <w:qFormat/>
    <w:rPr>
      <w:rFonts w:cs="宋体"/>
      <w:sz w:val="24"/>
    </w:rPr>
  </w:style>
  <w:style w:type="paragraph" w:styleId="1121" w:customStyle="1">
    <w:name w:val="样式 正文缩进 + 首行缩进:  2 字符"/>
    <w:basedOn w:val="766"/>
    <w:link w:val="1120"/>
    <w:uiPriority w:val="0"/>
    <w:qFormat/>
    <w:pPr>
      <w:ind w:firstLine="200"/>
      <w:spacing w:line="360" w:lineRule="auto"/>
    </w:pPr>
    <w:rPr>
      <w:sz w:val="24"/>
      <w:szCs w:val="20"/>
    </w:rPr>
  </w:style>
  <w:style w:type="character" w:styleId="1122" w:customStyle="1">
    <w:name w:val="彩色网格 - 强调文字颜色 1 Char"/>
    <w:link w:val="1123"/>
    <w:uiPriority w:val="0"/>
    <w:qFormat/>
    <w:rPr>
      <w:rFonts w:eastAsia="方正仿宋_GBK"/>
      <w:i/>
      <w:iCs/>
      <w:color w:val="000000"/>
      <w:szCs w:val="24"/>
    </w:rPr>
  </w:style>
  <w:style w:type="paragraph" w:styleId="1123" w:customStyle="1">
    <w:name w:val="彩色网格 - 强调文字颜色 11"/>
    <w:basedOn w:val="753"/>
    <w:next w:val="753"/>
    <w:link w:val="1122"/>
    <w:uiPriority w:val="0"/>
    <w:qFormat/>
    <w:pPr>
      <w:ind w:firstLine="560"/>
      <w:spacing w:line="360" w:lineRule="auto"/>
    </w:pPr>
    <w:rPr>
      <w:rFonts w:eastAsia="方正仿宋_GBK"/>
      <w:i/>
      <w:iCs/>
      <w:color w:val="000000"/>
      <w:sz w:val="20"/>
      <w:lang w:eastAsia="en-US"/>
    </w:rPr>
  </w:style>
  <w:style w:type="character" w:styleId="1124" w:customStyle="1">
    <w:name w:val="文档结构图 Char3"/>
    <w:uiPriority w:val="99"/>
    <w:qFormat/>
    <w:rPr>
      <w:rFonts w:ascii="宋体"/>
      <w:sz w:val="18"/>
      <w:szCs w:val="18"/>
    </w:rPr>
  </w:style>
  <w:style w:type="character" w:styleId="1125" w:customStyle="1">
    <w:name w:val="正文首行缩进 2 Char3"/>
    <w:uiPriority w:val="0"/>
    <w:semiHidden/>
    <w:qFormat/>
    <w:rPr>
      <w:rFonts w:ascii="Arial" w:hAnsi="Arial" w:eastAsia="方正仿宋_GBK" w:cs="Arial"/>
      <w:szCs w:val="24"/>
    </w:rPr>
  </w:style>
  <w:style w:type="character" w:styleId="1126" w:customStyle="1">
    <w:name w:val="样式7 Char Char"/>
    <w:link w:val="1127"/>
    <w:uiPriority w:val="0"/>
    <w:qFormat/>
    <w:rPr>
      <w:rFonts w:ascii="宋体" w:hAnsi="宋体"/>
      <w:sz w:val="28"/>
      <w:szCs w:val="28"/>
    </w:rPr>
  </w:style>
  <w:style w:type="paragraph" w:styleId="1127" w:customStyle="1">
    <w:name w:val="样式7"/>
    <w:basedOn w:val="753"/>
    <w:link w:val="1126"/>
    <w:uiPriority w:val="0"/>
    <w:qFormat/>
    <w:pPr>
      <w:ind w:left="980" w:hanging="420"/>
      <w:spacing w:line="360" w:lineRule="auto"/>
    </w:pPr>
    <w:rPr>
      <w:rFonts w:ascii="宋体" w:hAnsi="宋体"/>
      <w:sz w:val="28"/>
      <w:szCs w:val="28"/>
      <w:lang w:eastAsia="en-US"/>
    </w:rPr>
  </w:style>
  <w:style w:type="character" w:styleId="1128" w:customStyle="1">
    <w:name w:val="WW-Absatz-Standardschriftart11"/>
    <w:uiPriority w:val="0"/>
    <w:qFormat/>
  </w:style>
  <w:style w:type="character" w:styleId="1129" w:customStyle="1">
    <w:name w:val="正文文本 3 Char3"/>
    <w:uiPriority w:val="0"/>
    <w:qFormat/>
    <w:rPr>
      <w:rFonts w:ascii="仿宋_GB2312" w:hAnsi="Arial" w:eastAsia="仿宋_GB2312"/>
      <w:sz w:val="32"/>
    </w:rPr>
  </w:style>
  <w:style w:type="character" w:styleId="1130" w:customStyle="1">
    <w:name w:val="WW8Num34z2"/>
    <w:uiPriority w:val="0"/>
    <w:qFormat/>
    <w:rPr>
      <w:rFonts w:ascii="StarSymbol" w:hAnsi="StarSymbol" w:cs="StarSymbol"/>
      <w:sz w:val="18"/>
      <w:szCs w:val="18"/>
    </w:rPr>
  </w:style>
  <w:style w:type="character" w:styleId="1131" w:customStyle="1">
    <w:name w:val="日期 Char4"/>
    <w:uiPriority w:val="0"/>
    <w:qFormat/>
    <w:rPr>
      <w:rFonts w:ascii="仿宋_GB2312" w:eastAsia="仿宋_GB2312"/>
      <w:b/>
      <w:sz w:val="36"/>
      <w:szCs w:val="24"/>
    </w:rPr>
  </w:style>
  <w:style w:type="character" w:styleId="1132" w:customStyle="1">
    <w:name w:val="正文文本缩进 3 字符1"/>
    <w:uiPriority w:val="99"/>
    <w:qFormat/>
    <w:rPr>
      <w:rFonts w:ascii="宋体" w:hAnsi="Times New Roman" w:eastAsia="方正仿宋_GBK" w:cs="Times New Roman"/>
      <w:sz w:val="16"/>
      <w:szCs w:val="16"/>
    </w:rPr>
  </w:style>
  <w:style w:type="character" w:styleId="1133" w:customStyle="1">
    <w:name w:val="正文文本缩进 3 Char3"/>
    <w:uiPriority w:val="0"/>
    <w:qFormat/>
    <w:rPr>
      <w:rFonts w:ascii="方正行楷简体" w:hAnsi="Arial" w:eastAsia="方正行楷简体"/>
      <w:sz w:val="36"/>
    </w:rPr>
  </w:style>
  <w:style w:type="character" w:styleId="1134" w:customStyle="1">
    <w:name w:val="WW8Num6z1"/>
    <w:uiPriority w:val="0"/>
    <w:qFormat/>
    <w:rPr>
      <w:rFonts w:ascii="Wingdings" w:hAnsi="Wingdings"/>
    </w:rPr>
  </w:style>
  <w:style w:type="character" w:styleId="1135" w:customStyle="1">
    <w:name w:val="正文文本 2 Char3"/>
    <w:uiPriority w:val="0"/>
    <w:qFormat/>
    <w:rPr>
      <w:szCs w:val="24"/>
    </w:rPr>
  </w:style>
  <w:style w:type="character" w:styleId="1136" w:customStyle="1">
    <w:name w:val="WW8Num32z2"/>
    <w:uiPriority w:val="0"/>
    <w:qFormat/>
    <w:rPr>
      <w:rFonts w:ascii="StarSymbol" w:hAnsi="StarSymbol" w:cs="StarSymbol"/>
      <w:sz w:val="18"/>
      <w:szCs w:val="18"/>
    </w:rPr>
  </w:style>
  <w:style w:type="character" w:styleId="1137" w:customStyle="1">
    <w:name w:val="列表段落 字符1"/>
    <w:uiPriority w:val="34"/>
    <w:qFormat/>
    <w:rPr>
      <w:rFonts w:ascii="Calibri" w:hAnsi="Calibri"/>
      <w:sz w:val="21"/>
      <w:szCs w:val="22"/>
    </w:rPr>
  </w:style>
  <w:style w:type="character" w:styleId="1138" w:customStyle="1">
    <w:name w:val="WW8Num28z0"/>
    <w:uiPriority w:val="0"/>
    <w:qFormat/>
    <w:rPr>
      <w:rFonts w:ascii="Wingdings" w:hAnsi="Wingdings" w:cs="StarSymbol"/>
      <w:sz w:val="18"/>
      <w:szCs w:val="18"/>
    </w:rPr>
  </w:style>
  <w:style w:type="character" w:styleId="1139" w:customStyle="1">
    <w:name w:val="WW8Num2z2"/>
    <w:uiPriority w:val="0"/>
    <w:qFormat/>
    <w:rPr>
      <w:rFonts w:ascii="StarSymbol" w:hAnsi="StarSymbol" w:cs="StarSymbol"/>
      <w:sz w:val="18"/>
      <w:szCs w:val="18"/>
    </w:rPr>
  </w:style>
  <w:style w:type="character" w:styleId="1140" w:customStyle="1">
    <w:name w:val="apple-converted-space"/>
    <w:basedOn w:val="816"/>
    <w:uiPriority w:val="0"/>
    <w:qFormat/>
  </w:style>
  <w:style w:type="character" w:styleId="1141" w:customStyle="1">
    <w:name w:val="WW8Num35z2"/>
    <w:uiPriority w:val="0"/>
    <w:qFormat/>
    <w:rPr>
      <w:rFonts w:ascii="StarSymbol" w:hAnsi="StarSymbol" w:cs="StarSymbol"/>
      <w:sz w:val="18"/>
      <w:szCs w:val="18"/>
    </w:rPr>
  </w:style>
  <w:style w:type="character" w:styleId="1142" w:customStyle="1">
    <w:name w:val="标题 Char3"/>
    <w:uiPriority w:val="10"/>
    <w:qFormat/>
    <w:rPr>
      <w:rFonts w:ascii="Cambria" w:hAnsi="Cambria"/>
      <w:b/>
      <w:bCs/>
      <w:sz w:val="32"/>
      <w:szCs w:val="32"/>
    </w:rPr>
  </w:style>
  <w:style w:type="character" w:styleId="1143" w:customStyle="1">
    <w:name w:val="WW8Num10z0"/>
    <w:uiPriority w:val="0"/>
    <w:qFormat/>
    <w:rPr>
      <w:rFonts w:ascii="Wingdings" w:hAnsi="Wingdings" w:cs="StarSymbol"/>
      <w:sz w:val="18"/>
      <w:szCs w:val="18"/>
    </w:rPr>
  </w:style>
  <w:style w:type="character" w:styleId="1144" w:customStyle="1">
    <w:name w:val="正文首行缩进 Char5"/>
    <w:uiPriority w:val="0"/>
    <w:semiHidden/>
    <w:qFormat/>
    <w:rPr>
      <w:rFonts w:ascii="Arial" w:hAnsi="Arial"/>
      <w:szCs w:val="21"/>
    </w:rPr>
  </w:style>
  <w:style w:type="character" w:styleId="1145" w:customStyle="1">
    <w:name w:val="WW8Num32z0"/>
    <w:uiPriority w:val="0"/>
    <w:qFormat/>
    <w:rPr>
      <w:rFonts w:ascii="Wingdings" w:hAnsi="Wingdings" w:cs="StarSymbol"/>
      <w:sz w:val="18"/>
      <w:szCs w:val="18"/>
    </w:rPr>
  </w:style>
  <w:style w:type="character" w:styleId="1146" w:customStyle="1">
    <w:name w:val="正文首行缩进 Char1"/>
    <w:uiPriority w:val="0"/>
    <w:qFormat/>
    <w:rPr>
      <w:rFonts w:ascii="Times New Roman" w:hAnsi="Times New Roman" w:eastAsia="宋体" w:cs="Times New Roman"/>
      <w:szCs w:val="24"/>
    </w:rPr>
  </w:style>
  <w:style w:type="character" w:styleId="1147" w:customStyle="1">
    <w:name w:val="标题 3 字符1"/>
    <w:uiPriority w:val="0"/>
    <w:qFormat/>
    <w:rPr>
      <w:rFonts w:ascii="仿宋" w:eastAsia="仿宋"/>
      <w:b/>
      <w:sz w:val="32"/>
      <w:szCs w:val="32"/>
    </w:rPr>
  </w:style>
  <w:style w:type="character" w:styleId="1148" w:customStyle="1">
    <w:name w:val="正文首行缩进 Char2"/>
    <w:uiPriority w:val="0"/>
    <w:qFormat/>
    <w:rPr>
      <w:rFonts w:ascii="楷体_GB2312" w:hAnsi="Arial" w:eastAsia="楷体_GB2312"/>
      <w:sz w:val="21"/>
      <w:szCs w:val="24"/>
    </w:rPr>
  </w:style>
  <w:style w:type="character" w:styleId="1149" w:customStyle="1">
    <w:name w:val="正文文本 2 字符1"/>
    <w:uiPriority w:val="99"/>
    <w:semiHidden/>
    <w:qFormat/>
    <w:rPr>
      <w:rFonts w:ascii="Times New Roman" w:hAnsi="Times New Roman" w:eastAsia="方正仿宋_GBK" w:cs="Times New Roman"/>
      <w:sz w:val="24"/>
      <w:szCs w:val="24"/>
    </w:rPr>
  </w:style>
  <w:style w:type="character" w:styleId="1150" w:customStyle="1">
    <w:name w:val="Table Heading Char1"/>
    <w:link w:val="1151"/>
    <w:uiPriority w:val="0"/>
    <w:qFormat/>
    <w:rPr>
      <w:rFonts w:ascii="Book Antiqua" w:hAnsi="Book Antiqua" w:eastAsia="黑体" w:cs="Book Antiqua"/>
      <w:bCs/>
      <w:szCs w:val="21"/>
    </w:rPr>
  </w:style>
  <w:style w:type="paragraph" w:styleId="1151" w:customStyle="1">
    <w:name w:val="Table Heading"/>
    <w:basedOn w:val="753"/>
    <w:link w:val="1150"/>
    <w:uiPriority w:val="0"/>
    <w:qFormat/>
    <w:pPr>
      <w:jc w:val="left"/>
      <w:keepNext/>
      <w:spacing w:before="80" w:after="80" w:line="240" w:lineRule="atLeast"/>
    </w:pPr>
    <w:rPr>
      <w:rFonts w:ascii="Book Antiqua" w:hAnsi="Book Antiqua" w:eastAsia="黑体"/>
      <w:bCs/>
      <w:sz w:val="20"/>
      <w:szCs w:val="21"/>
      <w:lang w:eastAsia="en-US"/>
    </w:rPr>
  </w:style>
  <w:style w:type="character" w:styleId="1152" w:customStyle="1">
    <w:name w:val="二级采标题 字符"/>
    <w:link w:val="1153"/>
    <w:uiPriority w:val="0"/>
    <w:qFormat/>
    <w:rPr>
      <w:rFonts w:ascii="Calibri" w:hAnsi="Calibri" w:eastAsia="Arial" w:cs="Arial"/>
      <w:sz w:val="21"/>
      <w:szCs w:val="22"/>
      <w:lang w:val="en-US" w:eastAsia="zh-CN" w:bidi="ar-SA"/>
    </w:rPr>
  </w:style>
  <w:style w:type="paragraph" w:styleId="1153" w:customStyle="1">
    <w:name w:val="二级采标题"/>
    <w:next w:val="809"/>
    <w:link w:val="1152"/>
    <w:uiPriority w:val="0"/>
    <w:qFormat/>
    <w:pPr>
      <w:ind w:left="1134" w:hanging="1134"/>
    </w:pPr>
    <w:rPr>
      <w:rFonts w:ascii="Calibri" w:hAnsi="Calibri" w:eastAsia="Arial" w:cs="Arial"/>
      <w:sz w:val="21"/>
      <w:szCs w:val="22"/>
      <w:lang w:val="en-US" w:eastAsia="zh-CN" w:bidi="ar-SA"/>
    </w:rPr>
  </w:style>
  <w:style w:type="character" w:styleId="1154" w:customStyle="1">
    <w:name w:val="Table Text Char"/>
    <w:link w:val="1155"/>
    <w:uiPriority w:val="0"/>
    <w:qFormat/>
    <w:rPr>
      <w:rFonts w:cs="Arial"/>
      <w:szCs w:val="21"/>
    </w:rPr>
  </w:style>
  <w:style w:type="paragraph" w:styleId="1155" w:customStyle="1">
    <w:name w:val="Table Text"/>
    <w:basedOn w:val="753"/>
    <w:link w:val="1154"/>
    <w:uiPriority w:val="0"/>
    <w:qFormat/>
    <w:pPr>
      <w:jc w:val="left"/>
      <w:spacing w:before="80" w:after="80" w:line="240" w:lineRule="atLeast"/>
    </w:pPr>
    <w:rPr>
      <w:sz w:val="20"/>
      <w:szCs w:val="21"/>
      <w:lang w:eastAsia="en-US"/>
    </w:rPr>
  </w:style>
  <w:style w:type="character" w:styleId="1156" w:customStyle="1">
    <w:name w:val="WW8Num28z2"/>
    <w:uiPriority w:val="0"/>
    <w:qFormat/>
    <w:rPr>
      <w:rFonts w:ascii="StarSymbol" w:hAnsi="StarSymbol" w:cs="StarSymbol"/>
      <w:sz w:val="18"/>
      <w:szCs w:val="18"/>
    </w:rPr>
  </w:style>
  <w:style w:type="character" w:styleId="1157" w:customStyle="1">
    <w:name w:val="标题2 Char"/>
    <w:link w:val="1158"/>
    <w:uiPriority w:val="0"/>
    <w:qFormat/>
    <w:rPr>
      <w:rFonts w:ascii="宋体" w:hAnsi="宋体"/>
      <w:b/>
      <w:bCs/>
      <w:sz w:val="28"/>
      <w:szCs w:val="28"/>
    </w:rPr>
  </w:style>
  <w:style w:type="paragraph" w:styleId="1158" w:customStyle="1">
    <w:name w:val="标题2"/>
    <w:basedOn w:val="755"/>
    <w:next w:val="753"/>
    <w:link w:val="1157"/>
    <w:uiPriority w:val="0"/>
    <w:qFormat/>
    <w:pPr>
      <w:ind w:left="425"/>
      <w:jc w:val="left"/>
      <w:spacing w:before="0" w:after="0" w:line="360" w:lineRule="auto"/>
    </w:pPr>
    <w:rPr>
      <w:rFonts w:ascii="宋体" w:hAnsi="宋体" w:eastAsia="宋体"/>
      <w:bCs/>
      <w:sz w:val="28"/>
      <w:szCs w:val="28"/>
      <w:lang w:eastAsia="en-US"/>
    </w:rPr>
  </w:style>
  <w:style w:type="character" w:styleId="1159" w:customStyle="1">
    <w:name w:val="WW8Num17z1"/>
    <w:uiPriority w:val="0"/>
    <w:qFormat/>
    <w:rPr>
      <w:rFonts w:ascii="Wingdings 2" w:hAnsi="Wingdings 2" w:cs="StarSymbol"/>
      <w:sz w:val="18"/>
      <w:szCs w:val="18"/>
    </w:rPr>
  </w:style>
  <w:style w:type="character" w:styleId="1160" w:customStyle="1">
    <w:name w:val="font01"/>
    <w:basedOn w:val="763"/>
    <w:uiPriority w:val="0"/>
    <w:qFormat/>
    <w:rPr>
      <w:rFonts w:hint="eastAsia" w:ascii="楷体" w:hAnsi="楷体" w:eastAsia="楷体" w:cs="楷体"/>
      <w:color w:val="ff0000"/>
      <w:sz w:val="22"/>
      <w:szCs w:val="22"/>
      <w:u w:val="none"/>
    </w:rPr>
  </w:style>
  <w:style w:type="character" w:styleId="1161" w:customStyle="1">
    <w:name w:val="WW8Num23z0"/>
    <w:uiPriority w:val="0"/>
    <w:qFormat/>
    <w:rPr>
      <w:rFonts w:ascii="Wingdings" w:hAnsi="Wingdings" w:cs="StarSymbol"/>
      <w:sz w:val="18"/>
      <w:szCs w:val="18"/>
    </w:rPr>
  </w:style>
  <w:style w:type="character" w:styleId="1162" w:customStyle="1">
    <w:name w:val="font21"/>
    <w:basedOn w:val="763"/>
    <w:uiPriority w:val="0"/>
    <w:qFormat/>
    <w:rPr>
      <w:rFonts w:hint="eastAsia" w:ascii="楷体" w:hAnsi="楷体" w:eastAsia="楷体" w:cs="楷体"/>
      <w:color w:val="000000"/>
      <w:sz w:val="22"/>
      <w:szCs w:val="22"/>
      <w:u w:val="none"/>
    </w:rPr>
  </w:style>
  <w:style w:type="character" w:styleId="1163" w:customStyle="1">
    <w:name w:val="Absatz-Standardschriftart"/>
    <w:uiPriority w:val="0"/>
    <w:qFormat/>
  </w:style>
  <w:style w:type="character" w:styleId="1164" w:customStyle="1">
    <w:name w:val="批注文字 Char1"/>
    <w:uiPriority w:val="0"/>
    <w:qFormat/>
    <w:rPr>
      <w:rFonts w:ascii="Times New Roman" w:hAnsi="Times New Roman" w:eastAsia="宋体" w:cs="Times New Roman"/>
      <w:szCs w:val="24"/>
    </w:rPr>
  </w:style>
  <w:style w:type="character" w:styleId="1165" w:customStyle="1">
    <w:name w:val="WW8Num20z1"/>
    <w:uiPriority w:val="0"/>
    <w:qFormat/>
    <w:rPr>
      <w:rFonts w:ascii="Wingdings 2" w:hAnsi="Wingdings 2" w:cs="StarSymbol"/>
      <w:sz w:val="18"/>
      <w:szCs w:val="18"/>
    </w:rPr>
  </w:style>
  <w:style w:type="character" w:styleId="1166" w:customStyle="1">
    <w:name w:val="font31"/>
    <w:basedOn w:val="763"/>
    <w:uiPriority w:val="0"/>
    <w:qFormat/>
    <w:rPr>
      <w:rFonts w:hint="eastAsia" w:ascii="宋体" w:hAnsi="宋体" w:eastAsia="宋体" w:cs="宋体"/>
      <w:b/>
      <w:color w:val="000000"/>
      <w:sz w:val="24"/>
      <w:szCs w:val="24"/>
      <w:u w:val="none"/>
    </w:rPr>
  </w:style>
  <w:style w:type="character" w:styleId="1167" w:customStyle="1">
    <w:name w:val="金宏发行正文 Char Char Char"/>
    <w:uiPriority w:val="0"/>
    <w:qFormat/>
    <w:rPr>
      <w:rFonts w:hint="eastAsia" w:ascii="仿宋_GB2312" w:eastAsia="仿宋_GB2312" w:cs="宋体"/>
      <w:sz w:val="28"/>
    </w:rPr>
  </w:style>
  <w:style w:type="character" w:styleId="1168" w:customStyle="1">
    <w:name w:val="se11"/>
    <w:uiPriority w:val="0"/>
    <w:qFormat/>
    <w:rPr>
      <w:rFonts w:ascii="Tahoma" w:hAnsi="Tahoma" w:cs="Times New Roman"/>
      <w:color w:val="000000"/>
      <w:sz w:val="24"/>
      <w:lang w:bidi="ar-SA"/>
    </w:rPr>
  </w:style>
  <w:style w:type="character" w:styleId="1169" w:customStyle="1">
    <w:name w:val="WW8Num6z2"/>
    <w:uiPriority w:val="0"/>
    <w:qFormat/>
    <w:rPr>
      <w:rFonts w:ascii="StarSymbol" w:hAnsi="StarSymbol" w:cs="StarSymbol"/>
      <w:sz w:val="18"/>
      <w:szCs w:val="18"/>
    </w:rPr>
  </w:style>
  <w:style w:type="character" w:styleId="1170" w:customStyle="1">
    <w:name w:val="模板正文 Char"/>
    <w:link w:val="1171"/>
    <w:uiPriority w:val="0"/>
    <w:qFormat/>
    <w:rPr>
      <w:rFonts w:ascii="Calibri" w:hAnsi="Calibri"/>
      <w:sz w:val="28"/>
      <w:szCs w:val="21"/>
    </w:rPr>
  </w:style>
  <w:style w:type="paragraph" w:styleId="1171" w:customStyle="1">
    <w:name w:val="模板正文"/>
    <w:basedOn w:val="753"/>
    <w:link w:val="1170"/>
    <w:uiPriority w:val="0"/>
    <w:qFormat/>
    <w:pPr>
      <w:ind w:firstLine="200"/>
      <w:spacing w:line="360" w:lineRule="auto"/>
    </w:pPr>
    <w:rPr>
      <w:rFonts w:ascii="Calibri" w:hAnsi="Calibri"/>
      <w:sz w:val="28"/>
      <w:szCs w:val="21"/>
      <w:lang w:eastAsia="en-US"/>
    </w:rPr>
  </w:style>
  <w:style w:type="character" w:styleId="1172" w:customStyle="1">
    <w:name w:val="批注框文本 字符1"/>
    <w:uiPriority w:val="99"/>
    <w:qFormat/>
    <w:rPr>
      <w:rFonts w:ascii="Times New Roman" w:hAnsi="Times New Roman" w:eastAsia="方正仿宋_GBK" w:cs="Times New Roman"/>
      <w:sz w:val="18"/>
      <w:szCs w:val="18"/>
    </w:rPr>
  </w:style>
  <w:style w:type="character" w:styleId="1173" w:customStyle="1">
    <w:name w:val="标书正文 Char"/>
    <w:link w:val="1174"/>
    <w:uiPriority w:val="0"/>
    <w:qFormat/>
    <w:rPr>
      <w:rFonts w:ascii="Calibri" w:hAnsi="Calibri"/>
    </w:rPr>
  </w:style>
  <w:style w:type="paragraph" w:styleId="1174" w:customStyle="1">
    <w:name w:val="标书正文"/>
    <w:basedOn w:val="753"/>
    <w:link w:val="1173"/>
    <w:uiPriority w:val="0"/>
    <w:qFormat/>
    <w:pPr>
      <w:ind w:firstLine="200"/>
      <w:spacing w:before="120" w:line="360" w:lineRule="auto"/>
    </w:pPr>
    <w:rPr>
      <w:rFonts w:ascii="Calibri" w:hAnsi="Calibri"/>
      <w:sz w:val="20"/>
      <w:szCs w:val="20"/>
      <w:lang w:eastAsia="en-US"/>
    </w:rPr>
  </w:style>
  <w:style w:type="character" w:styleId="1175" w:customStyle="1">
    <w:name w:val="二级条标题 字符"/>
    <w:link w:val="1176"/>
    <w:uiPriority w:val="0"/>
    <w:qFormat/>
    <w:rPr>
      <w:rFonts w:ascii="黑体" w:eastAsia="黑体"/>
    </w:rPr>
  </w:style>
  <w:style w:type="paragraph" w:styleId="1176" w:customStyle="1">
    <w:name w:val="二级条标题"/>
    <w:basedOn w:val="807"/>
    <w:next w:val="809"/>
    <w:link w:val="1175"/>
    <w:uiPriority w:val="0"/>
    <w:qFormat/>
    <w:pPr>
      <w:ind w:left="630"/>
      <w:outlineLvl w:val="3"/>
    </w:pPr>
  </w:style>
  <w:style w:type="character" w:styleId="1177" w:customStyle="1">
    <w:name w:val="章标题 Char"/>
    <w:link w:val="808"/>
    <w:uiPriority w:val="0"/>
    <w:qFormat/>
    <w:rPr>
      <w:rFonts w:ascii="黑体" w:eastAsia="黑体"/>
      <w:lang w:val="en-US" w:eastAsia="zh-CN" w:bidi="ar-SA"/>
    </w:rPr>
  </w:style>
  <w:style w:type="character" w:styleId="1178" w:customStyle="1">
    <w:name w:val="一级条标题 Char Char"/>
    <w:link w:val="807"/>
    <w:uiPriority w:val="0"/>
    <w:qFormat/>
    <w:rPr>
      <w:rFonts w:ascii="黑体" w:eastAsia="黑体"/>
    </w:rPr>
  </w:style>
  <w:style w:type="character" w:styleId="1179" w:customStyle="1">
    <w:name w:val="页脚 Char1"/>
    <w:uiPriority w:val="0"/>
    <w:qFormat/>
    <w:rPr>
      <w:sz w:val="18"/>
      <w:szCs w:val="18"/>
    </w:rPr>
  </w:style>
  <w:style w:type="character" w:styleId="1180" w:customStyle="1">
    <w:name w:val="WW8Num15z1"/>
    <w:uiPriority w:val="0"/>
    <w:qFormat/>
    <w:rPr>
      <w:rFonts w:ascii="Wingdings 2" w:hAnsi="Wingdings 2" w:cs="StarSymbol"/>
      <w:sz w:val="18"/>
      <w:szCs w:val="18"/>
    </w:rPr>
  </w:style>
  <w:style w:type="character" w:styleId="1181" w:customStyle="1">
    <w:name w:val="n正文 Char"/>
    <w:link w:val="1182"/>
    <w:uiPriority w:val="0"/>
    <w:qFormat/>
    <w:rPr>
      <w:rFonts w:ascii="等线" w:hAnsi="等线" w:eastAsia="仿宋_GB2312" w:cs="Arial"/>
      <w:color w:val="000000"/>
      <w:sz w:val="28"/>
      <w:szCs w:val="28"/>
      <w:lang w:val="en-US" w:eastAsia="zh-CN" w:bidi="ar-SA"/>
    </w:rPr>
  </w:style>
  <w:style w:type="paragraph" w:styleId="1182" w:customStyle="1">
    <w:name w:val="n正文"/>
    <w:link w:val="1181"/>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83" w:customStyle="1">
    <w:name w:val="Table Text Char1"/>
    <w:uiPriority w:val="0"/>
    <w:qFormat/>
    <w:rPr>
      <w:sz w:val="21"/>
      <w:szCs w:val="21"/>
    </w:rPr>
  </w:style>
  <w:style w:type="character" w:styleId="1184" w:customStyle="1">
    <w:name w:val="正文文本缩进 Char1"/>
    <w:uiPriority w:val="0"/>
    <w:qFormat/>
    <w:rPr>
      <w:rFonts w:ascii="Calibri" w:hAnsi="Calibri" w:eastAsia="宋体" w:cs="Times New Roman"/>
    </w:rPr>
  </w:style>
  <w:style w:type="character" w:styleId="1185" w:customStyle="1">
    <w:name w:val="文章正文 Char"/>
    <w:uiPriority w:val="0"/>
    <w:qFormat/>
    <w:rPr>
      <w:rFonts w:ascii="Calibri" w:hAnsi="Calibri"/>
      <w:sz w:val="21"/>
      <w:szCs w:val="24"/>
    </w:rPr>
  </w:style>
  <w:style w:type="character" w:styleId="1186" w:customStyle="1">
    <w:name w:val="GEO正文 Char"/>
    <w:link w:val="1187"/>
    <w:uiPriority w:val="0"/>
    <w:qFormat/>
    <w:rPr>
      <w:rFonts w:eastAsia="仿宋_GB2312"/>
      <w:sz w:val="28"/>
    </w:rPr>
  </w:style>
  <w:style w:type="paragraph" w:styleId="1187" w:customStyle="1">
    <w:name w:val="GEO正文"/>
    <w:basedOn w:val="753"/>
    <w:link w:val="1186"/>
    <w:uiPriority w:val="0"/>
    <w:qFormat/>
    <w:pPr>
      <w:ind w:firstLine="200"/>
      <w:spacing w:line="360" w:lineRule="auto"/>
    </w:pPr>
    <w:rPr>
      <w:rFonts w:eastAsia="仿宋_GB2312"/>
      <w:sz w:val="28"/>
      <w:szCs w:val="20"/>
      <w:lang w:eastAsia="en-US"/>
    </w:rPr>
  </w:style>
  <w:style w:type="character" w:styleId="1188" w:customStyle="1">
    <w:name w:val="WW8Num35z1"/>
    <w:uiPriority w:val="0"/>
    <w:qFormat/>
    <w:rPr>
      <w:rFonts w:ascii="Wingdings 2" w:hAnsi="Wingdings 2" w:cs="StarSymbol"/>
      <w:sz w:val="18"/>
      <w:szCs w:val="18"/>
    </w:rPr>
  </w:style>
  <w:style w:type="character" w:styleId="1189" w:customStyle="1">
    <w:name w:val="页眉 Char1"/>
    <w:uiPriority w:val="0"/>
    <w:qFormat/>
    <w:rPr>
      <w:sz w:val="18"/>
      <w:szCs w:val="18"/>
    </w:rPr>
  </w:style>
  <w:style w:type="character" w:styleId="1190" w:customStyle="1">
    <w:name w:val="WW8Num34z1"/>
    <w:uiPriority w:val="0"/>
    <w:qFormat/>
    <w:rPr>
      <w:rFonts w:ascii="Wingdings 2" w:hAnsi="Wingdings 2" w:cs="StarSymbol"/>
      <w:sz w:val="18"/>
      <w:szCs w:val="18"/>
    </w:rPr>
  </w:style>
  <w:style w:type="character" w:styleId="1191" w:customStyle="1">
    <w:name w:val="文档结构图 Char1"/>
    <w:uiPriority w:val="0"/>
    <w:qFormat/>
    <w:rPr>
      <w:rFonts w:ascii="宋体" w:hAnsi="Calibri" w:eastAsia="宋体" w:cs="Times New Roman"/>
      <w:sz w:val="18"/>
      <w:szCs w:val="18"/>
    </w:rPr>
  </w:style>
  <w:style w:type="character" w:styleId="1192" w:customStyle="1">
    <w:name w:val="WW8Num21z0"/>
    <w:uiPriority w:val="0"/>
    <w:qFormat/>
    <w:rPr>
      <w:rFonts w:ascii="Wingdings" w:hAnsi="Wingdings" w:cs="StarSymbol"/>
      <w:sz w:val="18"/>
      <w:szCs w:val="18"/>
    </w:rPr>
  </w:style>
  <w:style w:type="character" w:styleId="1193" w:customStyle="1">
    <w:name w:val="页脚 Char2"/>
    <w:uiPriority w:val="99"/>
    <w:qFormat/>
    <w:rPr>
      <w:sz w:val="18"/>
      <w:szCs w:val="18"/>
    </w:rPr>
  </w:style>
  <w:style w:type="character" w:styleId="1194" w:customStyle="1">
    <w:name w:val="WW8Num1z1"/>
    <w:uiPriority w:val="0"/>
    <w:qFormat/>
    <w:rPr>
      <w:rFonts w:ascii="Wingdings" w:hAnsi="Wingdings"/>
    </w:rPr>
  </w:style>
  <w:style w:type="character" w:styleId="1195" w:customStyle="1">
    <w:name w:val="批注主题 Char1"/>
    <w:uiPriority w:val="0"/>
    <w:qFormat/>
    <w:rPr>
      <w:rFonts w:ascii="Calibri" w:hAnsi="Calibri" w:eastAsia="宋体" w:cs="Times New Roman"/>
      <w:b/>
      <w:bCs/>
      <w:sz w:val="21"/>
      <w:szCs w:val="22"/>
    </w:rPr>
  </w:style>
  <w:style w:type="character" w:styleId="1196" w:customStyle="1">
    <w:name w:val="我的图表标题 Char"/>
    <w:uiPriority w:val="0"/>
    <w:qFormat/>
    <w:rPr>
      <w:rFonts w:ascii="Cambria" w:hAnsi="Cambria" w:eastAsia="黑体" w:cs="宋体"/>
      <w:sz w:val="24"/>
    </w:rPr>
  </w:style>
  <w:style w:type="character" w:styleId="1197" w:customStyle="1">
    <w:name w:val="页眉 Char2"/>
    <w:uiPriority w:val="99"/>
    <w:qFormat/>
    <w:rPr>
      <w:sz w:val="18"/>
      <w:szCs w:val="18"/>
    </w:rPr>
  </w:style>
  <w:style w:type="character" w:styleId="1198" w:customStyle="1">
    <w:name w:val="WW8Num14z2"/>
    <w:uiPriority w:val="0"/>
    <w:qFormat/>
    <w:rPr>
      <w:rFonts w:ascii="StarSymbol" w:hAnsi="StarSymbol" w:cs="StarSymbol"/>
      <w:sz w:val="18"/>
      <w:szCs w:val="18"/>
    </w:rPr>
  </w:style>
  <w:style w:type="character" w:styleId="1199" w:customStyle="1">
    <w:name w:val="正文文本缩进 2 Char1"/>
    <w:uiPriority w:val="0"/>
    <w:qFormat/>
    <w:rPr>
      <w:rFonts w:ascii="Calibri" w:hAnsi="Calibri" w:eastAsia="宋体" w:cs="Times New Roman"/>
    </w:rPr>
  </w:style>
  <w:style w:type="character" w:styleId="1200" w:customStyle="1">
    <w:name w:val="不明显强调1"/>
    <w:uiPriority w:val="0"/>
    <w:qFormat/>
    <w:rPr>
      <w:i/>
      <w:iCs/>
      <w:color w:val="808080"/>
    </w:rPr>
  </w:style>
  <w:style w:type="character" w:styleId="1201" w:customStyle="1">
    <w:name w:val="正文文本缩进 3 Char1"/>
    <w:uiPriority w:val="0"/>
    <w:qFormat/>
    <w:rPr>
      <w:rFonts w:ascii="Calibri" w:hAnsi="Calibri" w:eastAsia="宋体" w:cs="Times New Roman"/>
      <w:sz w:val="16"/>
      <w:szCs w:val="16"/>
    </w:rPr>
  </w:style>
  <w:style w:type="character" w:styleId="1202" w:customStyle="1">
    <w:name w:val="批注文字 字符1"/>
    <w:uiPriority w:val="0"/>
    <w:qFormat/>
    <w:rPr>
      <w:rFonts w:ascii="Times New Roman" w:hAnsi="Times New Roman" w:eastAsia="方正仿宋_GBK" w:cs="Times New Roman"/>
      <w:sz w:val="24"/>
      <w:szCs w:val="24"/>
    </w:rPr>
  </w:style>
  <w:style w:type="character" w:styleId="1203" w:customStyle="1">
    <w:name w:val="纯文本 Char2"/>
    <w:uiPriority w:val="0"/>
    <w:qFormat/>
    <w:rPr>
      <w:rFonts w:ascii="宋体" w:hAnsi="Courier New" w:eastAsia="宋体" w:cs="Courier New"/>
      <w:szCs w:val="21"/>
    </w:rPr>
  </w:style>
  <w:style w:type="character" w:styleId="1204" w:customStyle="1">
    <w:name w:val="WW8Num19z1"/>
    <w:uiPriority w:val="0"/>
    <w:qFormat/>
    <w:rPr>
      <w:rFonts w:ascii="Wingdings" w:hAnsi="Wingdings"/>
    </w:rPr>
  </w:style>
  <w:style w:type="character" w:styleId="1205" w:customStyle="1">
    <w:name w:val="正文文本缩进 Char2"/>
    <w:uiPriority w:val="99"/>
    <w:semiHidden/>
    <w:qFormat/>
    <w:rPr>
      <w:sz w:val="21"/>
      <w:szCs w:val="22"/>
    </w:rPr>
  </w:style>
  <w:style w:type="character" w:styleId="1206" w:customStyle="1">
    <w:name w:val="WW8Num14z7"/>
    <w:uiPriority w:val="0"/>
    <w:qFormat/>
    <w:rPr>
      <w:rFonts w:ascii="Wingdings" w:hAnsi="Wingdings"/>
    </w:rPr>
  </w:style>
  <w:style w:type="character" w:styleId="1207" w:customStyle="1">
    <w:name w:val="正文文本缩进 2 Char2"/>
    <w:uiPriority w:val="99"/>
    <w:semiHidden/>
    <w:qFormat/>
    <w:rPr>
      <w:sz w:val="21"/>
      <w:szCs w:val="22"/>
    </w:rPr>
  </w:style>
  <w:style w:type="character" w:styleId="1208" w:customStyle="1">
    <w:name w:val="WW8Num23z1"/>
    <w:uiPriority w:val="0"/>
    <w:qFormat/>
    <w:rPr>
      <w:rFonts w:ascii="Wingdings 2" w:hAnsi="Wingdings 2" w:cs="StarSymbol"/>
      <w:sz w:val="18"/>
      <w:szCs w:val="18"/>
    </w:rPr>
  </w:style>
  <w:style w:type="character" w:styleId="1209" w:customStyle="1">
    <w:name w:val="批注框文本 Char1"/>
    <w:uiPriority w:val="0"/>
    <w:qFormat/>
    <w:rPr>
      <w:sz w:val="18"/>
      <w:szCs w:val="18"/>
    </w:rPr>
  </w:style>
  <w:style w:type="character" w:styleId="1210" w:customStyle="1">
    <w:name w:val="WW8Num3z2"/>
    <w:uiPriority w:val="0"/>
    <w:qFormat/>
    <w:rPr>
      <w:rFonts w:ascii="StarSymbol" w:hAnsi="StarSymbol" w:cs="StarSymbol"/>
      <w:sz w:val="18"/>
      <w:szCs w:val="18"/>
    </w:rPr>
  </w:style>
  <w:style w:type="character" w:styleId="1211" w:customStyle="1">
    <w:name w:val="文档结构图 Char2"/>
    <w:uiPriority w:val="99"/>
    <w:qFormat/>
    <w:rPr>
      <w:rFonts w:ascii="宋体"/>
      <w:sz w:val="18"/>
      <w:szCs w:val="18"/>
    </w:rPr>
  </w:style>
  <w:style w:type="character" w:styleId="1212" w:customStyle="1">
    <w:name w:val="样式 InfoBlue + 倾斜 Char"/>
    <w:uiPriority w:val="0"/>
    <w:qFormat/>
    <w:rPr>
      <w:color w:val="0000ff"/>
      <w:sz w:val="21"/>
    </w:rPr>
  </w:style>
  <w:style w:type="character" w:styleId="1213" w:customStyle="1">
    <w:name w:val="批注文字 Char2"/>
    <w:uiPriority w:val="0"/>
    <w:qFormat/>
    <w:rPr>
      <w:sz w:val="21"/>
      <w:szCs w:val="22"/>
    </w:rPr>
  </w:style>
  <w:style w:type="character" w:styleId="1214" w:customStyle="1">
    <w:name w:val="批注主题 Char2"/>
    <w:uiPriority w:val="0"/>
    <w:qFormat/>
    <w:rPr>
      <w:b/>
      <w:bCs/>
      <w:sz w:val="21"/>
      <w:szCs w:val="22"/>
    </w:rPr>
  </w:style>
  <w:style w:type="character" w:styleId="1215" w:customStyle="1">
    <w:name w:val="Char Char6"/>
    <w:uiPriority w:val="0"/>
    <w:qFormat/>
    <w:rPr>
      <w:b/>
      <w:bCs/>
      <w:sz w:val="44"/>
      <w:szCs w:val="44"/>
    </w:rPr>
  </w:style>
  <w:style w:type="character" w:styleId="1216" w:customStyle="1">
    <w:name w:val="p0 Char"/>
    <w:link w:val="1217"/>
    <w:uiPriority w:val="0"/>
    <w:qFormat/>
    <w:rPr>
      <w:szCs w:val="21"/>
    </w:rPr>
  </w:style>
  <w:style w:type="paragraph" w:styleId="1217" w:customStyle="1">
    <w:name w:val="p0"/>
    <w:basedOn w:val="753"/>
    <w:link w:val="1216"/>
    <w:uiPriority w:val="0"/>
    <w:qFormat/>
    <w:pPr>
      <w:widowControl/>
    </w:pPr>
    <w:rPr>
      <w:sz w:val="20"/>
      <w:szCs w:val="21"/>
      <w:lang w:eastAsia="en-US"/>
    </w:rPr>
  </w:style>
  <w:style w:type="character" w:styleId="1218" w:customStyle="1">
    <w:name w:val="脚注文本 Char3"/>
    <w:uiPriority w:val="0"/>
    <w:qFormat/>
    <w:rPr>
      <w:rFonts w:ascii="Calibri" w:hAnsi="Calibri"/>
      <w:sz w:val="18"/>
      <w:szCs w:val="18"/>
    </w:rPr>
  </w:style>
  <w:style w:type="character" w:styleId="1219" w:customStyle="1">
    <w:name w:val="标准文本 Char"/>
    <w:link w:val="1220"/>
    <w:uiPriority w:val="0"/>
    <w:qFormat/>
    <w:rPr>
      <w:rFonts w:cs="宋体"/>
      <w:szCs w:val="21"/>
    </w:rPr>
  </w:style>
  <w:style w:type="paragraph" w:styleId="1220" w:customStyle="1">
    <w:name w:val="标准文本"/>
    <w:basedOn w:val="753"/>
    <w:link w:val="1219"/>
    <w:uiPriority w:val="0"/>
    <w:qFormat/>
    <w:pPr>
      <w:ind w:firstLine="420"/>
      <w:spacing w:line="360" w:lineRule="auto"/>
    </w:pPr>
    <w:rPr>
      <w:sz w:val="20"/>
      <w:szCs w:val="21"/>
      <w:lang w:eastAsia="en-US"/>
    </w:rPr>
  </w:style>
  <w:style w:type="character" w:styleId="1221" w:customStyle="1">
    <w:name w:val="无间隔 Char"/>
    <w:link w:val="1222"/>
    <w:uiPriority w:val="0"/>
    <w:qFormat/>
    <w:rPr>
      <w:rFonts w:ascii="Calibri" w:hAnsi="Calibri" w:eastAsia="Arial" w:cs="Arial"/>
      <w:sz w:val="21"/>
      <w:szCs w:val="22"/>
      <w:lang w:val="en-US" w:eastAsia="zh-CN" w:bidi="ar-SA"/>
    </w:rPr>
  </w:style>
  <w:style w:type="paragraph" w:styleId="1222" w:customStyle="1">
    <w:name w:val="无间隔1"/>
    <w:link w:val="1221"/>
    <w:uiPriority w:val="0"/>
    <w:qFormat/>
    <w:pPr>
      <w:jc w:val="both"/>
      <w:widowControl w:val="off"/>
    </w:pPr>
    <w:rPr>
      <w:rFonts w:ascii="Calibri" w:hAnsi="Calibri" w:eastAsia="Arial" w:cs="Arial"/>
      <w:sz w:val="21"/>
      <w:szCs w:val="22"/>
      <w:lang w:val="en-US" w:eastAsia="zh-CN" w:bidi="ar-SA"/>
    </w:rPr>
  </w:style>
  <w:style w:type="character" w:styleId="1223" w:customStyle="1">
    <w:name w:val="页码1"/>
    <w:basedOn w:val="816"/>
    <w:uiPriority w:val="0"/>
    <w:qFormat/>
  </w:style>
  <w:style w:type="character" w:styleId="1224" w:customStyle="1">
    <w:name w:val="11111 Char"/>
    <w:uiPriority w:val="0"/>
    <w:qFormat/>
    <w:rPr>
      <w:rFonts w:hint="eastAsia" w:ascii="宋体" w:hAnsi="宋体" w:eastAsia="宋体" w:cs="宋体"/>
      <w:color w:val="000000"/>
      <w:sz w:val="24"/>
      <w:szCs w:val="24"/>
      <w:lang w:val="zh-CN"/>
    </w:rPr>
  </w:style>
  <w:style w:type="character" w:styleId="1225" w:customStyle="1">
    <w:name w:val="正文文本 Char1"/>
    <w:uiPriority w:val="0"/>
    <w:qFormat/>
    <w:rPr>
      <w:rFonts w:ascii="Times New Roman" w:hAnsi="Times New Roman" w:eastAsia="宋体" w:cs="Times New Roman"/>
      <w:szCs w:val="24"/>
    </w:rPr>
  </w:style>
  <w:style w:type="character" w:styleId="1226" w:customStyle="1">
    <w:name w:val="WW8Num26z1"/>
    <w:uiPriority w:val="0"/>
    <w:qFormat/>
    <w:rPr>
      <w:rFonts w:ascii="Wingdings 2" w:hAnsi="Wingdings 2" w:cs="StarSymbol"/>
      <w:sz w:val="18"/>
      <w:szCs w:val="18"/>
    </w:rPr>
  </w:style>
  <w:style w:type="character" w:styleId="1227" w:customStyle="1">
    <w:name w:val="font51"/>
    <w:uiPriority w:val="0"/>
    <w:qFormat/>
    <w:rPr>
      <w:rFonts w:ascii="Arial" w:hAnsi="Arial" w:cs="Arial"/>
      <w:color w:val="000000"/>
      <w:sz w:val="20"/>
      <w:szCs w:val="20"/>
      <w:u w:val="none"/>
    </w:rPr>
  </w:style>
  <w:style w:type="character" w:styleId="1228" w:customStyle="1">
    <w:name w:val="WW8Num25z0"/>
    <w:uiPriority w:val="0"/>
    <w:qFormat/>
    <w:rPr>
      <w:rFonts w:ascii="Wingdings" w:hAnsi="Wingdings" w:cs="StarSymbol"/>
      <w:sz w:val="18"/>
      <w:szCs w:val="18"/>
    </w:rPr>
  </w:style>
  <w:style w:type="character" w:styleId="1229" w:customStyle="1">
    <w:name w:val="paramlista1"/>
    <w:uiPriority w:val="0"/>
    <w:qFormat/>
    <w:rPr>
      <w:rFonts w:ascii="Calibri" w:hAnsi="Calibri" w:eastAsia="宋体" w:cs="Times New Roman"/>
      <w:sz w:val="18"/>
      <w:szCs w:val="18"/>
    </w:rPr>
  </w:style>
  <w:style w:type="character" w:styleId="1230" w:customStyle="1">
    <w:name w:val="high-light-bg4"/>
    <w:uiPriority w:val="0"/>
    <w:qFormat/>
  </w:style>
  <w:style w:type="character" w:styleId="1231" w:customStyle="1">
    <w:name w:val="Char Char201"/>
    <w:uiPriority w:val="0"/>
    <w:qFormat/>
    <w:rPr>
      <w:rFonts w:ascii="楷体_GB2312" w:eastAsia="楷体_GB2312"/>
      <w:sz w:val="28"/>
    </w:rPr>
  </w:style>
  <w:style w:type="character" w:styleId="1232" w:customStyle="1">
    <w:name w:val="页脚 字符1"/>
    <w:uiPriority w:val="99"/>
    <w:qFormat/>
    <w:rPr>
      <w:rFonts w:ascii="Times New Roman" w:hAnsi="Times New Roman" w:eastAsia="方正仿宋_GBK" w:cs="Times New Roman"/>
      <w:sz w:val="18"/>
      <w:szCs w:val="18"/>
    </w:rPr>
  </w:style>
  <w:style w:type="character" w:styleId="1233" w:customStyle="1">
    <w:name w:val="font41"/>
    <w:basedOn w:val="763"/>
    <w:uiPriority w:val="0"/>
    <w:qFormat/>
    <w:rPr>
      <w:rFonts w:hint="eastAsia" w:ascii="宋体" w:hAnsi="宋体" w:eastAsia="宋体" w:cs="宋体"/>
      <w:color w:val="000000"/>
      <w:sz w:val="20"/>
      <w:szCs w:val="20"/>
      <w:u w:val="none"/>
    </w:rPr>
  </w:style>
  <w:style w:type="character" w:styleId="1234" w:customStyle="1">
    <w:name w:val="WW8Num38z0"/>
    <w:uiPriority w:val="0"/>
    <w:qFormat/>
    <w:rPr>
      <w:rFonts w:ascii="Wingdings" w:hAnsi="Wingdings" w:cs="StarSymbol"/>
      <w:sz w:val="18"/>
      <w:szCs w:val="18"/>
    </w:rPr>
  </w:style>
  <w:style w:type="character" w:styleId="1235" w:customStyle="1">
    <w:name w:val="+正文 Char3"/>
    <w:link w:val="1236"/>
    <w:uiPriority w:val="0"/>
    <w:qFormat/>
    <w:rPr>
      <w:sz w:val="28"/>
    </w:rPr>
  </w:style>
  <w:style w:type="paragraph" w:styleId="1236" w:customStyle="1">
    <w:name w:val="+正文"/>
    <w:basedOn w:val="753"/>
    <w:next w:val="753"/>
    <w:link w:val="1235"/>
    <w:uiPriority w:val="0"/>
    <w:qFormat/>
    <w:pPr>
      <w:ind w:firstLine="200"/>
      <w:spacing w:line="360" w:lineRule="auto"/>
    </w:pPr>
    <w:rPr>
      <w:sz w:val="28"/>
      <w:szCs w:val="20"/>
      <w:lang w:eastAsia="en-US"/>
    </w:rPr>
  </w:style>
  <w:style w:type="character" w:styleId="1237" w:customStyle="1">
    <w:name w:val="正文文本 3 字符1"/>
    <w:uiPriority w:val="99"/>
    <w:qFormat/>
    <w:rPr>
      <w:rFonts w:ascii="Times New Roman" w:hAnsi="Times New Roman" w:eastAsia="方正仿宋_GBK" w:cs="Times New Roman"/>
      <w:sz w:val="16"/>
      <w:szCs w:val="16"/>
    </w:rPr>
  </w:style>
  <w:style w:type="character" w:styleId="1238" w:customStyle="1">
    <w:name w:val="Char Char171"/>
    <w:uiPriority w:val="0"/>
    <w:qFormat/>
    <w:rPr>
      <w:rFonts w:ascii="Arial" w:hAnsi="Arial" w:eastAsia="黑体"/>
      <w:b/>
      <w:spacing w:val="-2"/>
      <w:position w:val="-6"/>
      <w:sz w:val="24"/>
    </w:rPr>
  </w:style>
  <w:style w:type="character" w:styleId="1239" w:customStyle="1">
    <w:name w:val="style241"/>
    <w:uiPriority w:val="0"/>
    <w:qFormat/>
    <w:rPr>
      <w:rFonts w:hint="eastAsia" w:ascii="宋体" w:hAnsi="宋体" w:eastAsia="宋体"/>
      <w:color w:val="333333"/>
      <w:lang w:val="en-US" w:eastAsia="zh-CN" w:bidi="ar-SA"/>
    </w:rPr>
  </w:style>
  <w:style w:type="character" w:styleId="1240" w:customStyle="1">
    <w:name w:val="fontstyle01"/>
    <w:uiPriority w:val="0"/>
    <w:qFormat/>
    <w:rPr>
      <w:rFonts w:ascii="楷体" w:hAnsi="楷体"/>
      <w:color w:val="000000"/>
      <w:sz w:val="24"/>
      <w:szCs w:val="24"/>
    </w:rPr>
  </w:style>
  <w:style w:type="character" w:styleId="1241" w:customStyle="1">
    <w:name w:val="Numbering Symbols"/>
    <w:uiPriority w:val="0"/>
    <w:qFormat/>
  </w:style>
  <w:style w:type="character" w:styleId="1242" w:customStyle="1">
    <w:name w:val="标题 1 Char1"/>
    <w:uiPriority w:val="0"/>
    <w:qFormat/>
    <w:rPr>
      <w:b/>
      <w:sz w:val="44"/>
    </w:rPr>
  </w:style>
  <w:style w:type="character" w:styleId="1243" w:customStyle="1">
    <w:name w:val="引用 Char1"/>
    <w:uiPriority w:val="29"/>
    <w:qFormat/>
    <w:rPr>
      <w:i/>
      <w:iCs/>
      <w:color w:val="404040"/>
      <w:sz w:val="21"/>
    </w:rPr>
  </w:style>
  <w:style w:type="character" w:styleId="1244" w:customStyle="1">
    <w:name w:val="Char Char181"/>
    <w:uiPriority w:val="0"/>
    <w:qFormat/>
    <w:rPr>
      <w:rFonts w:ascii="宋体"/>
      <w:b/>
      <w:spacing w:val="-2"/>
      <w:position w:val="-6"/>
      <w:sz w:val="28"/>
    </w:rPr>
  </w:style>
  <w:style w:type="character" w:styleId="1245" w:customStyle="1">
    <w:name w:val="Table Heading Char"/>
    <w:uiPriority w:val="0"/>
    <w:qFormat/>
    <w:rPr>
      <w:rFonts w:ascii="Book Antiqua" w:hAnsi="Book Antiqua" w:eastAsia="黑体"/>
      <w:bCs/>
      <w:sz w:val="21"/>
      <w:szCs w:val="21"/>
    </w:rPr>
  </w:style>
  <w:style w:type="character" w:styleId="1246" w:customStyle="1">
    <w:name w:val="Char Char151"/>
    <w:uiPriority w:val="0"/>
    <w:qFormat/>
    <w:rPr>
      <w:rFonts w:ascii="Arial" w:hAnsi="Arial" w:eastAsia="黑体"/>
      <w:spacing w:val="-2"/>
      <w:position w:val="-6"/>
      <w:sz w:val="24"/>
    </w:rPr>
  </w:style>
  <w:style w:type="character" w:styleId="1247" w:customStyle="1">
    <w:name w:val="WW8Num14z1"/>
    <w:uiPriority w:val="0"/>
    <w:qFormat/>
    <w:rPr>
      <w:rFonts w:ascii="Wingdings 2" w:hAnsi="Wingdings 2" w:cs="StarSymbol"/>
      <w:sz w:val="18"/>
      <w:szCs w:val="18"/>
    </w:rPr>
  </w:style>
  <w:style w:type="character" w:styleId="1248" w:customStyle="1">
    <w:name w:val="font111"/>
    <w:uiPriority w:val="0"/>
    <w:qFormat/>
    <w:rPr>
      <w:rFonts w:hint="eastAsia" w:ascii="宋体" w:hAnsi="宋体" w:eastAsia="宋体" w:cs="宋体"/>
      <w:color w:val="000000"/>
      <w:sz w:val="21"/>
      <w:szCs w:val="21"/>
      <w:u w:val="none"/>
    </w:rPr>
  </w:style>
  <w:style w:type="character" w:styleId="1249" w:customStyle="1">
    <w:name w:val="样式2 Char"/>
    <w:uiPriority w:val="0"/>
    <w:qFormat/>
    <w:rPr>
      <w:rFonts w:hint="eastAsia" w:ascii="方正仿宋_GBK" w:eastAsia="方正仿宋_GBK"/>
      <w:bCs/>
      <w:sz w:val="32"/>
      <w:szCs w:val="24"/>
    </w:rPr>
  </w:style>
  <w:style w:type="character" w:styleId="1250" w:customStyle="1">
    <w:name w:val="Char Char18"/>
    <w:uiPriority w:val="0"/>
    <w:qFormat/>
    <w:rPr>
      <w:rFonts w:ascii="宋体"/>
      <w:b/>
      <w:spacing w:val="-2"/>
      <w:position w:val="-6"/>
      <w:sz w:val="28"/>
    </w:rPr>
  </w:style>
  <w:style w:type="character" w:styleId="1251" w:customStyle="1">
    <w:name w:val="WW8Num25z7"/>
    <w:uiPriority w:val="0"/>
    <w:qFormat/>
    <w:rPr>
      <w:rFonts w:ascii="Wingdings" w:hAnsi="Wingdings"/>
    </w:rPr>
  </w:style>
  <w:style w:type="character" w:styleId="1252" w:customStyle="1">
    <w:name w:val="font71"/>
    <w:basedOn w:val="763"/>
    <w:uiPriority w:val="0"/>
    <w:qFormat/>
    <w:rPr>
      <w:rFonts w:ascii="Arial" w:hAnsi="Arial" w:cs="Arial"/>
      <w:color w:val="000000"/>
      <w:sz w:val="20"/>
      <w:szCs w:val="20"/>
      <w:u w:val="none"/>
    </w:rPr>
  </w:style>
  <w:style w:type="character" w:styleId="1253" w:customStyle="1">
    <w:name w:val="WW8Num8z0"/>
    <w:uiPriority w:val="0"/>
    <w:qFormat/>
    <w:rPr>
      <w:rFonts w:ascii="Wingdings" w:hAnsi="Wingdings" w:cs="StarSymbol"/>
      <w:sz w:val="18"/>
      <w:szCs w:val="18"/>
    </w:rPr>
  </w:style>
  <w:style w:type="character" w:styleId="1254" w:customStyle="1">
    <w:name w:val="页码2"/>
    <w:basedOn w:val="816"/>
    <w:uiPriority w:val="0"/>
    <w:qFormat/>
  </w:style>
  <w:style w:type="character" w:styleId="1255" w:customStyle="1">
    <w:name w:val="WW8Num12z0"/>
    <w:uiPriority w:val="0"/>
    <w:qFormat/>
    <w:rPr>
      <w:rFonts w:ascii="Wingdings" w:hAnsi="Wingdings" w:cs="StarSymbol"/>
      <w:sz w:val="18"/>
      <w:szCs w:val="18"/>
    </w:rPr>
  </w:style>
  <w:style w:type="character" w:styleId="1256" w:customStyle="1">
    <w:name w:val="方案文档 Char"/>
    <w:link w:val="1257"/>
    <w:uiPriority w:val="0"/>
    <w:qFormat/>
    <w:rPr>
      <w:rFonts w:ascii="等线" w:hAnsi="等线" w:eastAsia="Arial" w:cs="Arial"/>
      <w:sz w:val="24"/>
      <w:szCs w:val="24"/>
      <w:lang w:val="en-US" w:eastAsia="zh-CN" w:bidi="ar-SA"/>
    </w:rPr>
  </w:style>
  <w:style w:type="paragraph" w:styleId="1257" w:customStyle="1">
    <w:name w:val="方案文档"/>
    <w:link w:val="1256"/>
    <w:uiPriority w:val="0"/>
    <w:qFormat/>
    <w:pPr>
      <w:ind w:firstLine="200"/>
      <w:spacing w:line="360" w:lineRule="auto"/>
    </w:pPr>
    <w:rPr>
      <w:rFonts w:ascii="等线" w:hAnsi="等线" w:eastAsia="Arial" w:cs="Arial"/>
      <w:sz w:val="24"/>
      <w:szCs w:val="24"/>
      <w:lang w:val="en-US" w:eastAsia="zh-CN" w:bidi="ar-SA"/>
    </w:rPr>
  </w:style>
  <w:style w:type="character" w:styleId="1258" w:customStyle="1">
    <w:name w:val="称呼 Char3"/>
    <w:uiPriority w:val="0"/>
    <w:qFormat/>
    <w:rPr>
      <w:rFonts w:ascii="Arial" w:hAnsi="Arial" w:eastAsia="方正仿宋_GBK" w:cs="Arial"/>
    </w:rPr>
  </w:style>
  <w:style w:type="character" w:styleId="1259" w:customStyle="1">
    <w:name w:val="font141"/>
    <w:uiPriority w:val="0"/>
    <w:qFormat/>
    <w:rPr>
      <w:rFonts w:hint="eastAsia" w:ascii="宋体" w:hAnsi="宋体" w:eastAsia="宋体" w:cs="宋体"/>
      <w:color w:val="000000"/>
      <w:sz w:val="20"/>
      <w:szCs w:val="20"/>
      <w:u w:val="none"/>
    </w:rPr>
  </w:style>
  <w:style w:type="character" w:styleId="1260" w:customStyle="1">
    <w:name w:val="WW8Num13z2"/>
    <w:uiPriority w:val="0"/>
    <w:qFormat/>
    <w:rPr>
      <w:rFonts w:ascii="StarSymbol" w:hAnsi="StarSymbol" w:cs="StarSymbol"/>
      <w:sz w:val="18"/>
      <w:szCs w:val="18"/>
    </w:rPr>
  </w:style>
  <w:style w:type="character" w:styleId="1261" w:customStyle="1">
    <w:name w:val="项目编号B Char"/>
    <w:link w:val="1262"/>
    <w:uiPriority w:val="0"/>
    <w:qFormat/>
    <w:rPr>
      <w:rFonts w:ascii="等线" w:hAnsi="等线" w:eastAsia="Arial" w:cs="Arial"/>
      <w:sz w:val="24"/>
      <w:szCs w:val="24"/>
      <w:lang w:val="en-US" w:eastAsia="zh-CN" w:bidi="ar-SA"/>
    </w:rPr>
  </w:style>
  <w:style w:type="paragraph" w:styleId="1262" w:customStyle="1">
    <w:name w:val="项目编号B"/>
    <w:link w:val="1261"/>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63" w:customStyle="1">
    <w:name w:val="WW8Num33z1"/>
    <w:uiPriority w:val="0"/>
    <w:qFormat/>
    <w:rPr>
      <w:rFonts w:ascii="Wingdings 2" w:hAnsi="Wingdings 2" w:cs="StarSymbol"/>
      <w:sz w:val="18"/>
      <w:szCs w:val="18"/>
    </w:rPr>
  </w:style>
  <w:style w:type="character" w:styleId="1264" w:customStyle="1">
    <w:name w:val="项目编号A Char Char"/>
    <w:link w:val="1265"/>
    <w:uiPriority w:val="0"/>
    <w:qFormat/>
    <w:rPr>
      <w:rFonts w:ascii="等线" w:hAnsi="等线" w:eastAsia="Arial" w:cs="Arial"/>
      <w:sz w:val="24"/>
      <w:szCs w:val="24"/>
      <w:lang w:val="en-US" w:eastAsia="zh-CN" w:bidi="ar-SA"/>
    </w:rPr>
  </w:style>
  <w:style w:type="paragraph" w:styleId="1265" w:customStyle="1">
    <w:name w:val="项目编号A"/>
    <w:link w:val="1264"/>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66" w:customStyle="1">
    <w:name w:val="style11"/>
    <w:uiPriority w:val="0"/>
    <w:qFormat/>
    <w:rPr>
      <w:color w:val="ff0000"/>
    </w:rPr>
  </w:style>
  <w:style w:type="character" w:styleId="1267" w:customStyle="1">
    <w:name w:val="Char Char15"/>
    <w:uiPriority w:val="0"/>
    <w:qFormat/>
    <w:rPr>
      <w:rFonts w:ascii="Arial" w:hAnsi="Arial" w:eastAsia="黑体"/>
      <w:spacing w:val="-2"/>
      <w:position w:val="-6"/>
      <w:sz w:val="24"/>
    </w:rPr>
  </w:style>
  <w:style w:type="character" w:styleId="1268" w:customStyle="1">
    <w:name w:val="WW8Num14z0"/>
    <w:uiPriority w:val="0"/>
    <w:qFormat/>
    <w:rPr>
      <w:rFonts w:ascii="Wingdings" w:hAnsi="Wingdings" w:cs="StarSymbol"/>
      <w:sz w:val="18"/>
      <w:szCs w:val="18"/>
    </w:rPr>
  </w:style>
  <w:style w:type="character" w:styleId="1269" w:customStyle="1">
    <w:name w:val="Char Char17"/>
    <w:uiPriority w:val="0"/>
    <w:qFormat/>
    <w:rPr>
      <w:rFonts w:ascii="Arial" w:hAnsi="Arial" w:eastAsia="黑体"/>
      <w:b/>
      <w:spacing w:val="-2"/>
      <w:position w:val="-6"/>
      <w:sz w:val="24"/>
    </w:rPr>
  </w:style>
  <w:style w:type="character" w:styleId="1270" w:customStyle="1">
    <w:name w:val="表格内容 Char"/>
    <w:uiPriority w:val="0"/>
    <w:qFormat/>
    <w:rPr>
      <w:rFonts w:hint="eastAsia" w:ascii="微软雅黑" w:hAnsi="微软雅黑" w:eastAsia="微软雅黑"/>
      <w:sz w:val="18"/>
      <w:szCs w:val="24"/>
      <w:lang w:val="en-GB"/>
    </w:rPr>
  </w:style>
  <w:style w:type="character" w:styleId="1271" w:customStyle="1">
    <w:name w:val="武汉表格 Char"/>
    <w:link w:val="1272"/>
    <w:uiPriority w:val="0"/>
    <w:qFormat/>
    <w:rPr>
      <w:rFonts w:eastAsia="黑体"/>
      <w:szCs w:val="21"/>
    </w:rPr>
  </w:style>
  <w:style w:type="paragraph" w:styleId="1272" w:customStyle="1">
    <w:name w:val="武汉表格"/>
    <w:basedOn w:val="753"/>
    <w:link w:val="1271"/>
    <w:uiPriority w:val="0"/>
    <w:qFormat/>
    <w:rPr>
      <w:rFonts w:eastAsia="黑体"/>
      <w:sz w:val="20"/>
      <w:szCs w:val="21"/>
      <w:lang w:eastAsia="en-US"/>
    </w:rPr>
  </w:style>
  <w:style w:type="character" w:styleId="1273" w:customStyle="1">
    <w:name w:val="WW8Num12z1"/>
    <w:uiPriority w:val="0"/>
    <w:qFormat/>
    <w:rPr>
      <w:rFonts w:ascii="Wingdings 2" w:hAnsi="Wingdings 2" w:cs="StarSymbol"/>
      <w:sz w:val="18"/>
      <w:szCs w:val="18"/>
    </w:rPr>
  </w:style>
  <w:style w:type="character" w:styleId="1274" w:customStyle="1">
    <w:name w:val="Char Char20"/>
    <w:uiPriority w:val="0"/>
    <w:qFormat/>
    <w:rPr>
      <w:rFonts w:ascii="楷体_GB2312" w:eastAsia="楷体_GB2312"/>
      <w:sz w:val="28"/>
    </w:rPr>
  </w:style>
  <w:style w:type="character" w:styleId="1275" w:customStyle="1">
    <w:name w:val="con_text1"/>
    <w:uiPriority w:val="0"/>
    <w:qFormat/>
  </w:style>
  <w:style w:type="character" w:styleId="1276" w:customStyle="1">
    <w:name w:val="批注引用2"/>
    <w:uiPriority w:val="0"/>
    <w:qFormat/>
    <w:rPr>
      <w:sz w:val="21"/>
      <w:szCs w:val="21"/>
    </w:rPr>
  </w:style>
  <w:style w:type="character" w:styleId="1277" w:customStyle="1">
    <w:name w:val="WW8Num5z2"/>
    <w:uiPriority w:val="0"/>
    <w:qFormat/>
    <w:rPr>
      <w:rFonts w:ascii="StarSymbol" w:hAnsi="StarSymbol" w:cs="StarSymbol"/>
      <w:sz w:val="18"/>
      <w:szCs w:val="18"/>
    </w:rPr>
  </w:style>
  <w:style w:type="character" w:styleId="1278" w:customStyle="1">
    <w:name w:val="正文缩进 Char2"/>
    <w:uiPriority w:val="0"/>
    <w:qFormat/>
    <w:rPr>
      <w:rFonts w:eastAsia="宋体"/>
      <w:sz w:val="21"/>
      <w:lang w:val="en-US" w:eastAsia="zh-CN" w:bidi="ar-SA"/>
    </w:rPr>
  </w:style>
  <w:style w:type="character" w:styleId="1279"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80" w:customStyle="1">
    <w:name w:val="Char Char16"/>
    <w:uiPriority w:val="0"/>
    <w:qFormat/>
    <w:rPr>
      <w:rFonts w:ascii="宋体"/>
      <w:b/>
      <w:spacing w:val="-2"/>
      <w:position w:val="-6"/>
      <w:sz w:val="24"/>
    </w:rPr>
  </w:style>
  <w:style w:type="character" w:styleId="1281" w:customStyle="1">
    <w:name w:val="批注主题 字符1"/>
    <w:uiPriority w:val="99"/>
    <w:qFormat/>
    <w:rPr>
      <w:rFonts w:ascii="Times New Roman" w:hAnsi="Times New Roman" w:eastAsia="方正仿宋_GBK" w:cs="Times New Roman"/>
      <w:b/>
      <w:bCs/>
      <w:sz w:val="24"/>
      <w:szCs w:val="24"/>
    </w:rPr>
  </w:style>
  <w:style w:type="character" w:styleId="1282" w:customStyle="1">
    <w:name w:val="Char Char161"/>
    <w:uiPriority w:val="0"/>
    <w:qFormat/>
    <w:rPr>
      <w:rFonts w:ascii="宋体"/>
      <w:b/>
      <w:spacing w:val="-2"/>
      <w:position w:val="-6"/>
      <w:sz w:val="24"/>
    </w:rPr>
  </w:style>
  <w:style w:type="character" w:styleId="1283" w:customStyle="1">
    <w:name w:val="引用 Char"/>
    <w:uiPriority w:val="0"/>
    <w:qFormat/>
    <w:rPr>
      <w:rFonts w:ascii="Times New Roman" w:hAnsi="Times New Roman" w:eastAsia="方正仿宋_GBK" w:cs="Times New Roman"/>
      <w:i/>
      <w:iCs/>
      <w:color w:val="000000"/>
      <w:sz w:val="24"/>
      <w:szCs w:val="20"/>
    </w:rPr>
  </w:style>
  <w:style w:type="character" w:styleId="1284" w:customStyle="1">
    <w:name w:val="标题 3 Char1"/>
    <w:uiPriority w:val="0"/>
    <w:qFormat/>
    <w:rPr>
      <w:b/>
      <w:sz w:val="32"/>
    </w:rPr>
  </w:style>
  <w:style w:type="character" w:styleId="1285" w:customStyle="1">
    <w:name w:val="InfoBlue Char"/>
    <w:uiPriority w:val="0"/>
    <w:qFormat/>
    <w:rPr>
      <w:color w:val="0000ff"/>
      <w:sz w:val="21"/>
    </w:rPr>
  </w:style>
  <w:style w:type="character" w:styleId="1286" w:customStyle="1">
    <w:name w:val="副标题 Char3"/>
    <w:uiPriority w:val="0"/>
    <w:qFormat/>
    <w:rPr>
      <w:b/>
      <w:bCs/>
      <w:sz w:val="32"/>
      <w:szCs w:val="32"/>
    </w:rPr>
  </w:style>
  <w:style w:type="character" w:styleId="1287" w:customStyle="1">
    <w:name w:val="title_orange1"/>
    <w:uiPriority w:val="0"/>
    <w:qFormat/>
    <w:rPr>
      <w:b/>
      <w:bCs/>
      <w:color w:val="cc6600"/>
      <w:sz w:val="33"/>
      <w:szCs w:val="33"/>
      <w:u w:val="none"/>
    </w:rPr>
  </w:style>
  <w:style w:type="character" w:styleId="1288" w:customStyle="1">
    <w:name w:val="font61"/>
    <w:uiPriority w:val="0"/>
    <w:qFormat/>
    <w:rPr>
      <w:rFonts w:ascii="Arial" w:hAnsi="Arial" w:cs="Arial"/>
      <w:b/>
      <w:color w:val="000000"/>
      <w:sz w:val="20"/>
      <w:szCs w:val="20"/>
      <w:u w:val="none"/>
    </w:rPr>
  </w:style>
  <w:style w:type="character" w:styleId="1289" w:customStyle="1">
    <w:name w:val="Char Char191"/>
    <w:uiPriority w:val="0"/>
    <w:qFormat/>
    <w:rPr>
      <w:rFonts w:ascii="Arial" w:hAnsi="Arial" w:eastAsia="黑体"/>
      <w:b/>
      <w:bCs/>
      <w:sz w:val="28"/>
      <w:szCs w:val="28"/>
    </w:rPr>
  </w:style>
  <w:style w:type="character" w:styleId="1290" w:customStyle="1">
    <w:name w:val="WW8Num33z0"/>
    <w:uiPriority w:val="0"/>
    <w:qFormat/>
    <w:rPr>
      <w:rFonts w:ascii="Wingdings" w:hAnsi="Wingdings" w:cs="StarSymbol"/>
      <w:sz w:val="18"/>
      <w:szCs w:val="18"/>
    </w:rPr>
  </w:style>
  <w:style w:type="character" w:styleId="1291" w:customStyle="1">
    <w:name w:val="font91"/>
    <w:basedOn w:val="763"/>
    <w:uiPriority w:val="0"/>
    <w:qFormat/>
    <w:rPr>
      <w:rFonts w:hint="eastAsia" w:ascii="宋体" w:hAnsi="宋体" w:eastAsia="宋体" w:cs="宋体"/>
      <w:color w:val="000000"/>
      <w:sz w:val="20"/>
      <w:szCs w:val="20"/>
      <w:u w:val="none"/>
    </w:rPr>
  </w:style>
  <w:style w:type="character" w:styleId="1292" w:customStyle="1">
    <w:name w:val="op_dict_text21"/>
    <w:uiPriority w:val="0"/>
    <w:qFormat/>
  </w:style>
  <w:style w:type="character" w:styleId="1293" w:customStyle="1">
    <w:name w:val="normal91"/>
    <w:uiPriority w:val="0"/>
    <w:qFormat/>
    <w:rPr>
      <w:rFonts w:ascii="Calibri" w:hAnsi="Calibri" w:eastAsia="宋体" w:cs="Times New Roman"/>
      <w:sz w:val="20"/>
      <w:szCs w:val="20"/>
    </w:rPr>
  </w:style>
  <w:style w:type="character" w:styleId="1294" w:customStyle="1">
    <w:name w:val="WW8Num18z1"/>
    <w:uiPriority w:val="0"/>
    <w:qFormat/>
    <w:rPr>
      <w:rFonts w:ascii="Wingdings 2" w:hAnsi="Wingdings 2" w:cs="StarSymbol"/>
      <w:sz w:val="18"/>
      <w:szCs w:val="18"/>
    </w:rPr>
  </w:style>
  <w:style w:type="character" w:styleId="1295" w:customStyle="1">
    <w:name w:val="font121"/>
    <w:basedOn w:val="763"/>
    <w:uiPriority w:val="0"/>
    <w:qFormat/>
    <w:rPr>
      <w:rFonts w:hint="eastAsia" w:ascii="宋体" w:hAnsi="宋体" w:eastAsia="宋体" w:cs="宋体"/>
      <w:b/>
      <w:color w:val="000000"/>
      <w:sz w:val="20"/>
      <w:szCs w:val="20"/>
      <w:u w:val="none"/>
    </w:rPr>
  </w:style>
  <w:style w:type="character" w:styleId="1296" w:customStyle="1">
    <w:name w:val="标题 4 Char1"/>
    <w:uiPriority w:val="0"/>
    <w:qFormat/>
    <w:rPr>
      <w:rFonts w:ascii="Cambria" w:hAnsi="Cambria" w:eastAsia="宋体" w:cs="Times New Roman"/>
      <w:b/>
      <w:bCs/>
      <w:sz w:val="28"/>
      <w:szCs w:val="28"/>
    </w:rPr>
  </w:style>
  <w:style w:type="character" w:styleId="1297" w:customStyle="1">
    <w:name w:val="Char Char19"/>
    <w:uiPriority w:val="0"/>
    <w:qFormat/>
    <w:rPr>
      <w:rFonts w:ascii="Arial" w:hAnsi="Arial" w:eastAsia="黑体"/>
      <w:b/>
      <w:bCs/>
      <w:sz w:val="28"/>
      <w:szCs w:val="28"/>
    </w:rPr>
  </w:style>
  <w:style w:type="character" w:styleId="1298" w:customStyle="1">
    <w:name w:val="标题 9 字符1"/>
    <w:uiPriority w:val="9"/>
    <w:qFormat/>
    <w:rPr>
      <w:rFonts w:ascii="Arial" w:hAnsi="Arial" w:eastAsia="黑体" w:cs="Times New Roman"/>
      <w:sz w:val="24"/>
      <w:szCs w:val="21"/>
    </w:rPr>
  </w:style>
  <w:style w:type="character" w:styleId="1299" w:customStyle="1">
    <w:name w:val="font131"/>
    <w:uiPriority w:val="0"/>
    <w:qFormat/>
    <w:rPr>
      <w:rFonts w:hint="eastAsia" w:ascii="宋体" w:hAnsi="宋体" w:eastAsia="宋体" w:cs="宋体"/>
      <w:color w:val="000000"/>
      <w:sz w:val="18"/>
      <w:szCs w:val="18"/>
      <w:u w:val="none"/>
    </w:rPr>
  </w:style>
  <w:style w:type="character" w:styleId="1300" w:customStyle="1">
    <w:name w:val="标题G Char"/>
    <w:uiPriority w:val="0"/>
    <w:qFormat/>
    <w:rPr>
      <w:rFonts w:hint="eastAsia" w:ascii="方正小标宋_GBK" w:hAnsi="方正小标宋_GBK" w:eastAsia="方正小标宋_GBK"/>
      <w:color w:val="000000"/>
      <w:spacing w:val="-20"/>
      <w:sz w:val="44"/>
      <w:szCs w:val="52"/>
    </w:rPr>
  </w:style>
  <w:style w:type="character" w:styleId="1301" w:customStyle="1">
    <w:name w:val="批注引用1"/>
    <w:uiPriority w:val="0"/>
    <w:qFormat/>
    <w:rPr>
      <w:sz w:val="21"/>
      <w:szCs w:val="21"/>
    </w:rPr>
  </w:style>
  <w:style w:type="character" w:styleId="1302" w:customStyle="1">
    <w:name w:val="WW-Absatz-Standardschriftart111"/>
    <w:uiPriority w:val="0"/>
    <w:qFormat/>
  </w:style>
  <w:style w:type="character" w:styleId="1303" w:customStyle="1">
    <w:name w:val="font81"/>
    <w:uiPriority w:val="0"/>
    <w:qFormat/>
    <w:rPr>
      <w:rFonts w:hint="eastAsia" w:ascii="宋体" w:hAnsi="宋体" w:eastAsia="宋体" w:cs="宋体"/>
      <w:b/>
      <w:color w:val="000000"/>
      <w:sz w:val="20"/>
      <w:szCs w:val="20"/>
      <w:u w:val="none"/>
    </w:rPr>
  </w:style>
  <w:style w:type="character" w:styleId="1304" w:customStyle="1">
    <w:name w:val="m1"/>
    <w:uiPriority w:val="0"/>
    <w:qFormat/>
    <w:rPr>
      <w:rFonts w:hint="eastAsia" w:ascii="宋体" w:hAnsi="宋体" w:eastAsia="宋体"/>
      <w:color w:val="0000ff"/>
      <w:lang w:val="en-US" w:eastAsia="zh-CN" w:bidi="ar-SA"/>
    </w:rPr>
  </w:style>
  <w:style w:type="character" w:styleId="1305" w:customStyle="1">
    <w:name w:val="表格 Char Char"/>
    <w:link w:val="1306"/>
    <w:uiPriority w:val="0"/>
    <w:qFormat/>
    <w:rPr>
      <w:rFonts w:ascii="Arial" w:hAnsi="Arial"/>
      <w:sz w:val="24"/>
      <w:szCs w:val="24"/>
    </w:rPr>
  </w:style>
  <w:style w:type="paragraph" w:styleId="1306" w:customStyle="1">
    <w:name w:val="表格"/>
    <w:basedOn w:val="753"/>
    <w:link w:val="1305"/>
    <w:uiPriority w:val="0"/>
    <w:qFormat/>
    <w:rPr>
      <w:rFonts w:ascii="Arial" w:hAnsi="Arial"/>
      <w:sz w:val="24"/>
      <w:lang w:eastAsia="en-US"/>
    </w:rPr>
  </w:style>
  <w:style w:type="character" w:styleId="1307" w:customStyle="1">
    <w:name w:val="WW8Num21z2"/>
    <w:uiPriority w:val="0"/>
    <w:qFormat/>
    <w:rPr>
      <w:rFonts w:ascii="StarSymbol" w:hAnsi="StarSymbol" w:cs="StarSymbol"/>
      <w:sz w:val="18"/>
      <w:szCs w:val="18"/>
    </w:rPr>
  </w:style>
  <w:style w:type="character" w:styleId="1308" w:customStyle="1">
    <w:name w:val="副标题 Char1"/>
    <w:uiPriority w:val="0"/>
    <w:qFormat/>
    <w:rPr>
      <w:rFonts w:ascii="Cambria" w:hAnsi="Cambria" w:cs="Times New Roman"/>
      <w:b/>
      <w:bCs/>
      <w:sz w:val="32"/>
      <w:szCs w:val="32"/>
    </w:rPr>
  </w:style>
  <w:style w:type="character" w:styleId="1309" w:customStyle="1">
    <w:name w:val="atitle31"/>
    <w:uiPriority w:val="0"/>
    <w:qFormat/>
    <w:rPr>
      <w:rFonts w:ascii="Arial" w:hAnsi="Arial" w:cs="Arial"/>
      <w:b/>
      <w:bCs/>
      <w:sz w:val="29"/>
      <w:szCs w:val="29"/>
    </w:rPr>
  </w:style>
  <w:style w:type="character" w:styleId="1310" w:customStyle="1">
    <w:name w:val="副标题 Char2"/>
    <w:uiPriority w:val="0"/>
    <w:qFormat/>
    <w:rPr>
      <w:rFonts w:ascii="Cambria" w:hAnsi="Cambria" w:cs="Times New Roman"/>
      <w:b/>
      <w:bCs/>
      <w:sz w:val="32"/>
      <w:szCs w:val="32"/>
    </w:rPr>
  </w:style>
  <w:style w:type="character" w:styleId="1311" w:customStyle="1">
    <w:name w:val="WW8Num21z1"/>
    <w:uiPriority w:val="0"/>
    <w:qFormat/>
    <w:rPr>
      <w:rFonts w:ascii="Wingdings" w:hAnsi="Wingdings"/>
    </w:rPr>
  </w:style>
  <w:style w:type="character" w:styleId="1312" w:customStyle="1">
    <w:name w:val="font191"/>
    <w:uiPriority w:val="0"/>
    <w:qFormat/>
    <w:rPr>
      <w:rFonts w:ascii="Arial" w:hAnsi="Arial" w:cs="Arial"/>
      <w:b/>
      <w:color w:val="000000"/>
      <w:sz w:val="20"/>
      <w:szCs w:val="20"/>
      <w:u w:val="none"/>
    </w:rPr>
  </w:style>
  <w:style w:type="character" w:styleId="1313" w:customStyle="1">
    <w:name w:val="MM Topic 2 Char"/>
    <w:link w:val="1314"/>
    <w:uiPriority w:val="0"/>
    <w:qFormat/>
    <w:rPr>
      <w:rFonts w:ascii="Cambria" w:hAnsi="Cambria"/>
      <w:b/>
      <w:bCs/>
      <w:sz w:val="32"/>
      <w:szCs w:val="32"/>
      <w:lang w:val="zh-CN"/>
    </w:rPr>
  </w:style>
  <w:style w:type="paragraph" w:styleId="1314" w:customStyle="1">
    <w:name w:val="MM Topic 2"/>
    <w:basedOn w:val="755"/>
    <w:link w:val="1313"/>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15" w:customStyle="1">
    <w:name w:val="注释标题 Char"/>
    <w:uiPriority w:val="0"/>
    <w:qFormat/>
    <w:rPr>
      <w:sz w:val="21"/>
      <w:szCs w:val="24"/>
    </w:rPr>
  </w:style>
  <w:style w:type="character" w:styleId="1316" w:customStyle="1">
    <w:name w:val="页眉 字符1"/>
    <w:uiPriority w:val="0"/>
    <w:qFormat/>
    <w:rPr>
      <w:rFonts w:ascii="Times New Roman" w:hAnsi="Times New Roman" w:eastAsia="方正仿宋_GBK" w:cs="Times New Roman"/>
      <w:sz w:val="18"/>
      <w:szCs w:val="18"/>
    </w:rPr>
  </w:style>
  <w:style w:type="character" w:styleId="1317" w:customStyle="1">
    <w:name w:val="称呼 Char"/>
    <w:uiPriority w:val="0"/>
    <w:qFormat/>
    <w:rPr>
      <w:sz w:val="21"/>
      <w:szCs w:val="24"/>
    </w:rPr>
  </w:style>
  <w:style w:type="character" w:styleId="1318" w:customStyle="1">
    <w:name w:val="WW8Num16z2"/>
    <w:uiPriority w:val="0"/>
    <w:qFormat/>
    <w:rPr>
      <w:rFonts w:ascii="StarSymbol" w:hAnsi="StarSymbol" w:cs="StarSymbol"/>
      <w:sz w:val="18"/>
      <w:szCs w:val="18"/>
    </w:rPr>
  </w:style>
  <w:style w:type="character" w:styleId="1319" w:customStyle="1">
    <w:name w:val="HTML 地址 Char"/>
    <w:uiPriority w:val="0"/>
    <w:qFormat/>
    <w:rPr>
      <w:i/>
      <w:iCs/>
      <w:sz w:val="21"/>
      <w:szCs w:val="24"/>
    </w:rPr>
  </w:style>
  <w:style w:type="character" w:styleId="1320" w:customStyle="1">
    <w:name w:val="WW8Num22z0"/>
    <w:uiPriority w:val="0"/>
    <w:qFormat/>
    <w:rPr>
      <w:rFonts w:ascii="Wingdings" w:hAnsi="Wingdings" w:cs="StarSymbol"/>
      <w:sz w:val="18"/>
      <w:szCs w:val="18"/>
    </w:rPr>
  </w:style>
  <w:style w:type="character" w:styleId="1321" w:customStyle="1">
    <w:name w:val="尾注文本 Char1"/>
    <w:uiPriority w:val="0"/>
    <w:qFormat/>
    <w:rPr>
      <w:szCs w:val="24"/>
      <w:lang w:val="zh-CN"/>
    </w:rPr>
  </w:style>
  <w:style w:type="character" w:styleId="1322" w:customStyle="1">
    <w:name w:val="WW8Num18z0"/>
    <w:uiPriority w:val="0"/>
    <w:qFormat/>
    <w:rPr>
      <w:rFonts w:ascii="Wingdings" w:hAnsi="Wingdings" w:cs="StarSymbol"/>
      <w:sz w:val="18"/>
      <w:szCs w:val="18"/>
    </w:rPr>
  </w:style>
  <w:style w:type="character" w:styleId="1323" w:customStyle="1">
    <w:name w:val="HTML 预设格式 Char"/>
    <w:uiPriority w:val="99"/>
    <w:qFormat/>
    <w:rPr>
      <w:rFonts w:ascii="Courier New" w:hAnsi="Courier New" w:cs="Courier New"/>
    </w:rPr>
  </w:style>
  <w:style w:type="character" w:styleId="1324" w:customStyle="1">
    <w:name w:val="WW8Num27z2"/>
    <w:uiPriority w:val="0"/>
    <w:qFormat/>
    <w:rPr>
      <w:rFonts w:ascii="StarSymbol" w:hAnsi="StarSymbol" w:cs="StarSymbol"/>
      <w:sz w:val="18"/>
      <w:szCs w:val="18"/>
    </w:rPr>
  </w:style>
  <w:style w:type="character" w:styleId="1325" w:customStyle="1">
    <w:name w:val="正文首行缩进 2 Char"/>
    <w:uiPriority w:val="0"/>
    <w:qFormat/>
    <w:rPr>
      <w:rFonts w:ascii="楷体_GB2312" w:eastAsia="楷体_GB2312"/>
      <w:sz w:val="21"/>
      <w:szCs w:val="24"/>
    </w:rPr>
  </w:style>
  <w:style w:type="character" w:styleId="1326" w:customStyle="1">
    <w:name w:val="atitle21"/>
    <w:uiPriority w:val="0"/>
    <w:qFormat/>
    <w:rPr>
      <w:rFonts w:ascii="Arial" w:hAnsi="Arial" w:cs="Arial"/>
      <w:b/>
      <w:bCs/>
      <w:sz w:val="35"/>
      <w:szCs w:val="35"/>
    </w:rPr>
  </w:style>
  <w:style w:type="character" w:styleId="1327" w:customStyle="1">
    <w:name w:val="标题 1 Char2"/>
    <w:uiPriority w:val="0"/>
    <w:qFormat/>
    <w:rPr>
      <w:rFonts w:ascii="Times New Roman" w:hAnsi="Times New Roman" w:eastAsia="宋体" w:cs="Times New Roman"/>
      <w:b/>
      <w:bCs/>
      <w:sz w:val="32"/>
      <w:szCs w:val="28"/>
    </w:rPr>
  </w:style>
  <w:style w:type="character" w:styleId="1328" w:customStyle="1">
    <w:name w:val="op_dict3_lineone_result_tip"/>
    <w:uiPriority w:val="0"/>
    <w:qFormat/>
    <w:rPr>
      <w:color w:val="999999"/>
    </w:rPr>
  </w:style>
  <w:style w:type="character" w:styleId="1329" w:customStyle="1">
    <w:name w:val="标题 2 Char2"/>
    <w:uiPriority w:val="0"/>
    <w:qFormat/>
    <w:rPr>
      <w:rFonts w:ascii="Times New Roman" w:hAnsi="Times New Roman" w:eastAsia="宋体" w:cs="Times New Roman"/>
      <w:b/>
      <w:bCs/>
      <w:sz w:val="30"/>
      <w:szCs w:val="32"/>
    </w:rPr>
  </w:style>
  <w:style w:type="character" w:styleId="1330" w:customStyle="1">
    <w:name w:val="标题 3 Char2"/>
    <w:uiPriority w:val="0"/>
    <w:qFormat/>
    <w:rPr>
      <w:rFonts w:ascii="Times New Roman" w:hAnsi="Times New Roman" w:eastAsia="宋体" w:cs="Times New Roman"/>
      <w:b/>
      <w:bCs/>
      <w:sz w:val="28"/>
      <w:szCs w:val="18"/>
    </w:rPr>
  </w:style>
  <w:style w:type="character" w:styleId="1331" w:customStyle="1">
    <w:name w:val="WW8Num9z2"/>
    <w:uiPriority w:val="0"/>
    <w:qFormat/>
    <w:rPr>
      <w:rFonts w:ascii="StarSymbol" w:hAnsi="StarSymbol" w:cs="StarSymbol"/>
      <w:sz w:val="18"/>
      <w:szCs w:val="18"/>
    </w:rPr>
  </w:style>
  <w:style w:type="character" w:styleId="1332" w:customStyle="1">
    <w:name w:val="标题 4 Char2"/>
    <w:uiPriority w:val="0"/>
    <w:qFormat/>
    <w:rPr>
      <w:rFonts w:ascii="Times New Roman" w:hAnsi="Times New Roman" w:eastAsia="宋体" w:cs="Times New Roman"/>
      <w:b/>
      <w:bCs/>
      <w:sz w:val="24"/>
      <w:szCs w:val="28"/>
    </w:rPr>
  </w:style>
  <w:style w:type="character" w:styleId="1333" w:customStyle="1">
    <w:name w:val="WW8Num13z1"/>
    <w:uiPriority w:val="0"/>
    <w:qFormat/>
    <w:rPr>
      <w:rFonts w:ascii="Wingdings 2" w:hAnsi="Wingdings 2" w:cs="StarSymbol"/>
      <w:sz w:val="18"/>
      <w:szCs w:val="18"/>
    </w:rPr>
  </w:style>
  <w:style w:type="character" w:styleId="1334" w:customStyle="1">
    <w:name w:val="标题 5 Char2"/>
    <w:uiPriority w:val="0"/>
    <w:qFormat/>
    <w:rPr>
      <w:rFonts w:ascii="Times New Roman" w:hAnsi="Times New Roman" w:eastAsia="宋体" w:cs="Times New Roman"/>
      <w:b/>
      <w:bCs/>
      <w:sz w:val="21"/>
      <w:szCs w:val="28"/>
      <w:lang w:val="zh-CN"/>
    </w:rPr>
  </w:style>
  <w:style w:type="character" w:styleId="1335" w:customStyle="1">
    <w:name w:val="WW8Num15z7"/>
    <w:uiPriority w:val="0"/>
    <w:qFormat/>
    <w:rPr>
      <w:rFonts w:ascii="Wingdings" w:hAnsi="Wingdings"/>
    </w:rPr>
  </w:style>
  <w:style w:type="character" w:styleId="1336" w:customStyle="1">
    <w:name w:val="标题 6 Char2"/>
    <w:uiPriority w:val="0"/>
    <w:qFormat/>
    <w:rPr>
      <w:rFonts w:ascii="Cambria" w:hAnsi="Cambria" w:eastAsia="宋体" w:cs="Times New Roman"/>
      <w:b/>
      <w:bCs/>
      <w:sz w:val="24"/>
      <w:szCs w:val="24"/>
      <w:lang w:val="zh-CN"/>
    </w:rPr>
  </w:style>
  <w:style w:type="character" w:styleId="1337" w:customStyle="1">
    <w:name w:val="WW8Num26z0"/>
    <w:uiPriority w:val="0"/>
    <w:qFormat/>
    <w:rPr>
      <w:rFonts w:ascii="Wingdings" w:hAnsi="Wingdings" w:cs="StarSymbol"/>
      <w:sz w:val="18"/>
      <w:szCs w:val="18"/>
    </w:rPr>
  </w:style>
  <w:style w:type="character" w:styleId="1338" w:customStyle="1">
    <w:name w:val="正文文本缩进 Char3"/>
    <w:uiPriority w:val="0"/>
    <w:qFormat/>
    <w:rPr>
      <w:rFonts w:ascii="Times New Roman" w:hAnsi="Times New Roman" w:eastAsia="宋体" w:cs="Times New Roman"/>
      <w:szCs w:val="24"/>
      <w:lang w:val="zh-CN" w:eastAsia="zh-CN"/>
    </w:rPr>
  </w:style>
  <w:style w:type="character" w:styleId="1339" w:customStyle="1">
    <w:name w:val="WW8Num26z2"/>
    <w:uiPriority w:val="0"/>
    <w:qFormat/>
    <w:rPr>
      <w:rFonts w:ascii="StarSymbol" w:hAnsi="StarSymbol" w:cs="StarSymbol"/>
      <w:sz w:val="18"/>
      <w:szCs w:val="18"/>
    </w:rPr>
  </w:style>
  <w:style w:type="character" w:styleId="1340" w:customStyle="1">
    <w:name w:val="批注框文本 Char3"/>
    <w:uiPriority w:val="99"/>
    <w:qFormat/>
    <w:rPr>
      <w:rFonts w:ascii="Times New Roman" w:hAnsi="Times New Roman" w:eastAsia="宋体" w:cs="Times New Roman"/>
      <w:sz w:val="18"/>
      <w:szCs w:val="18"/>
    </w:rPr>
  </w:style>
  <w:style w:type="character" w:styleId="1341" w:customStyle="1">
    <w:name w:val="bz-content"/>
    <w:uiPriority w:val="0"/>
    <w:qFormat/>
  </w:style>
  <w:style w:type="character" w:styleId="1342" w:customStyle="1">
    <w:name w:val="标题 Char2"/>
    <w:uiPriority w:val="0"/>
    <w:qFormat/>
    <w:rPr>
      <w:rFonts w:ascii="Cambria" w:hAnsi="Cambria" w:eastAsia="黑体" w:cs="Times New Roman"/>
      <w:b/>
      <w:bCs/>
      <w:sz w:val="52"/>
      <w:szCs w:val="32"/>
    </w:rPr>
  </w:style>
  <w:style w:type="character" w:styleId="1343" w:customStyle="1">
    <w:name w:val="标题 字符1"/>
    <w:uiPriority w:val="0"/>
    <w:qFormat/>
    <w:rPr>
      <w:rFonts w:ascii="宋体" w:hAnsi="宋体" w:eastAsia="方正小标宋_GBK" w:cs="Times New Roman"/>
      <w:color w:val="000000"/>
      <w:sz w:val="52"/>
      <w:szCs w:val="52"/>
    </w:rPr>
  </w:style>
  <w:style w:type="character" w:styleId="1344" w:customStyle="1">
    <w:name w:val="正文2 字符"/>
    <w:link w:val="1345"/>
    <w:uiPriority w:val="0"/>
    <w:qFormat/>
    <w:rPr>
      <w:szCs w:val="24"/>
    </w:rPr>
  </w:style>
  <w:style w:type="paragraph" w:styleId="1345" w:customStyle="1">
    <w:name w:val="正文2"/>
    <w:basedOn w:val="753"/>
    <w:link w:val="1344"/>
    <w:uiPriority w:val="0"/>
    <w:qFormat/>
    <w:pPr>
      <w:ind w:firstLine="420"/>
      <w:spacing w:line="360" w:lineRule="auto"/>
    </w:pPr>
    <w:rPr>
      <w:sz w:val="20"/>
      <w:lang w:eastAsia="en-US"/>
    </w:rPr>
  </w:style>
  <w:style w:type="character" w:styleId="1346" w:customStyle="1">
    <w:name w:val="WW8Num4z2"/>
    <w:uiPriority w:val="0"/>
    <w:qFormat/>
    <w:rPr>
      <w:rFonts w:ascii="StarSymbol" w:hAnsi="StarSymbol" w:cs="StarSymbol"/>
      <w:sz w:val="18"/>
      <w:szCs w:val="18"/>
    </w:rPr>
  </w:style>
  <w:style w:type="character" w:styleId="1347" w:customStyle="1">
    <w:name w:val="标题 7 Char2"/>
    <w:uiPriority w:val="0"/>
    <w:qFormat/>
    <w:rPr>
      <w:rFonts w:ascii="Times New Roman" w:hAnsi="Times New Roman" w:eastAsia="宋体" w:cs="Times New Roman"/>
      <w:b/>
      <w:bCs/>
      <w:sz w:val="24"/>
      <w:szCs w:val="24"/>
    </w:rPr>
  </w:style>
  <w:style w:type="character" w:styleId="1348" w:customStyle="1">
    <w:name w:val="WW-Absatz-Standardschriftart1"/>
    <w:uiPriority w:val="0"/>
    <w:qFormat/>
  </w:style>
  <w:style w:type="character" w:styleId="1349" w:customStyle="1">
    <w:name w:val="标题 9 Char2"/>
    <w:uiPriority w:val="0"/>
    <w:qFormat/>
    <w:rPr>
      <w:rFonts w:ascii="Times New Roman" w:hAnsi="Times New Roman" w:eastAsia="宋体" w:cs="Times New Roman"/>
      <w:b/>
      <w:bCs/>
      <w:sz w:val="30"/>
      <w:szCs w:val="18"/>
    </w:rPr>
  </w:style>
  <w:style w:type="character" w:styleId="1350" w:customStyle="1">
    <w:name w:val="WW8Num3z1"/>
    <w:uiPriority w:val="0"/>
    <w:qFormat/>
    <w:rPr>
      <w:rFonts w:ascii="Wingdings 2" w:hAnsi="Wingdings 2" w:cs="StarSymbol"/>
      <w:sz w:val="18"/>
      <w:szCs w:val="18"/>
    </w:rPr>
  </w:style>
  <w:style w:type="character" w:styleId="1351" w:customStyle="1">
    <w:name w:val="批注文字 Char3"/>
    <w:uiPriority w:val="99"/>
    <w:qFormat/>
    <w:rPr>
      <w:rFonts w:ascii="Times New Roman" w:hAnsi="Times New Roman" w:eastAsia="宋体" w:cs="Times New Roman"/>
      <w:szCs w:val="24"/>
      <w:lang w:val="zh-CN"/>
    </w:rPr>
  </w:style>
  <w:style w:type="character" w:styleId="1352" w:customStyle="1">
    <w:name w:val="WW8Num29z1"/>
    <w:uiPriority w:val="0"/>
    <w:qFormat/>
    <w:rPr>
      <w:rFonts w:ascii="Wingdings 2" w:hAnsi="Wingdings 2" w:cs="StarSymbol"/>
      <w:sz w:val="18"/>
      <w:szCs w:val="18"/>
    </w:rPr>
  </w:style>
  <w:style w:type="character" w:styleId="1353" w:customStyle="1">
    <w:name w:val="正文文本 Char3"/>
    <w:uiPriority w:val="0"/>
    <w:qFormat/>
    <w:rPr>
      <w:rFonts w:ascii="Times New Roman" w:hAnsi="Times New Roman" w:eastAsia="宋体" w:cs="Times New Roman"/>
      <w:szCs w:val="24"/>
    </w:rPr>
  </w:style>
  <w:style w:type="character" w:styleId="1354" w:customStyle="1">
    <w:name w:val="WW8Num9z1"/>
    <w:uiPriority w:val="0"/>
    <w:qFormat/>
    <w:rPr>
      <w:rFonts w:ascii="Wingdings 2" w:hAnsi="Wingdings 2" w:cs="StarSymbol"/>
      <w:sz w:val="18"/>
      <w:szCs w:val="18"/>
    </w:rPr>
  </w:style>
  <w:style w:type="character" w:styleId="1355" w:customStyle="1">
    <w:name w:val="日期 Char3"/>
    <w:uiPriority w:val="0"/>
    <w:qFormat/>
    <w:rPr>
      <w:rFonts w:ascii="Times New Roman" w:hAnsi="Times New Roman" w:eastAsia="宋体" w:cs="Times New Roman"/>
      <w:szCs w:val="24"/>
    </w:rPr>
  </w:style>
  <w:style w:type="character" w:styleId="1356" w:customStyle="1">
    <w:name w:val="WW8Num5z1"/>
    <w:uiPriority w:val="0"/>
    <w:qFormat/>
    <w:rPr>
      <w:rFonts w:ascii="Wingdings 2" w:hAnsi="Wingdings 2" w:cs="StarSymbol"/>
      <w:sz w:val="18"/>
      <w:szCs w:val="18"/>
    </w:rPr>
  </w:style>
  <w:style w:type="character" w:styleId="1357" w:customStyle="1">
    <w:name w:val="正文首行缩进 Char4"/>
    <w:basedOn w:val="1353"/>
    <w:uiPriority w:val="0"/>
    <w:qFormat/>
    <w:rPr>
      <w:rFonts w:ascii="Times New Roman" w:hAnsi="Times New Roman" w:eastAsia="宋体" w:cs="Times New Roman"/>
      <w:szCs w:val="24"/>
    </w:rPr>
  </w:style>
  <w:style w:type="character" w:styleId="1358" w:customStyle="1">
    <w:name w:val="标题 4 字符1"/>
    <w:uiPriority w:val="9"/>
    <w:qFormat/>
    <w:rPr>
      <w:rFonts w:ascii="仿宋" w:hAnsi="仿宋" w:eastAsia="仿宋"/>
      <w:b/>
      <w:bCs/>
      <w:sz w:val="32"/>
      <w:szCs w:val="32"/>
    </w:rPr>
  </w:style>
  <w:style w:type="character" w:styleId="1359" w:customStyle="1">
    <w:name w:val="正文文本 2 Char2"/>
    <w:uiPriority w:val="0"/>
    <w:qFormat/>
    <w:rPr>
      <w:rFonts w:ascii="Times New Roman" w:hAnsi="Times New Roman" w:eastAsia="宋体" w:cs="Times New Roman"/>
      <w:szCs w:val="24"/>
    </w:rPr>
  </w:style>
  <w:style w:type="character" w:styleId="1360" w:customStyle="1">
    <w:name w:val="Bullets"/>
    <w:uiPriority w:val="0"/>
    <w:qFormat/>
    <w:rPr>
      <w:rFonts w:ascii="StarSymbol" w:hAnsi="StarSymbol" w:eastAsia="StarSymbol" w:cs="StarSymbol"/>
      <w:sz w:val="18"/>
      <w:szCs w:val="18"/>
    </w:rPr>
  </w:style>
  <w:style w:type="character" w:styleId="1361" w:customStyle="1">
    <w:name w:val="正文文本 3 Char2"/>
    <w:uiPriority w:val="0"/>
    <w:qFormat/>
    <w:rPr>
      <w:rFonts w:ascii="Times New Roman" w:hAnsi="Times New Roman" w:eastAsia="宋体" w:cs="Times New Roman"/>
      <w:sz w:val="16"/>
      <w:szCs w:val="16"/>
    </w:rPr>
  </w:style>
  <w:style w:type="character" w:styleId="1362" w:customStyle="1">
    <w:name w:val="WW8Num39z2"/>
    <w:uiPriority w:val="0"/>
    <w:qFormat/>
    <w:rPr>
      <w:rFonts w:ascii="StarSymbol" w:hAnsi="StarSymbol" w:cs="StarSymbol"/>
      <w:sz w:val="18"/>
      <w:szCs w:val="18"/>
    </w:rPr>
  </w:style>
  <w:style w:type="character" w:styleId="1363" w:customStyle="1">
    <w:name w:val="正文文本缩进 2 Char3"/>
    <w:uiPriority w:val="0"/>
    <w:qFormat/>
    <w:rPr>
      <w:rFonts w:ascii="Times New Roman" w:hAnsi="Times New Roman" w:eastAsia="楷体_GB2312" w:cs="Times New Roman"/>
      <w:sz w:val="24"/>
      <w:szCs w:val="24"/>
    </w:rPr>
  </w:style>
  <w:style w:type="character" w:styleId="1364" w:customStyle="1">
    <w:name w:val="WW8Num11z2"/>
    <w:uiPriority w:val="0"/>
    <w:qFormat/>
    <w:rPr>
      <w:rFonts w:ascii="StarSymbol" w:hAnsi="StarSymbol" w:cs="StarSymbol"/>
      <w:sz w:val="18"/>
      <w:szCs w:val="18"/>
    </w:rPr>
  </w:style>
  <w:style w:type="character" w:styleId="1365" w:customStyle="1">
    <w:name w:val="正文文本缩进 3 Char2"/>
    <w:uiPriority w:val="0"/>
    <w:qFormat/>
    <w:rPr>
      <w:rFonts w:ascii="Times New Roman" w:hAnsi="Times New Roman" w:eastAsia="宋体" w:cs="Times New Roman"/>
      <w:sz w:val="16"/>
      <w:szCs w:val="16"/>
    </w:rPr>
  </w:style>
  <w:style w:type="character" w:styleId="1366" w:customStyle="1">
    <w:name w:val="WW8Num4z1"/>
    <w:uiPriority w:val="0"/>
    <w:qFormat/>
    <w:rPr>
      <w:rFonts w:ascii="Wingdings" w:hAnsi="Wingdings"/>
    </w:rPr>
  </w:style>
  <w:style w:type="character" w:styleId="1367" w:customStyle="1">
    <w:name w:val="方案正文 Char1"/>
    <w:link w:val="1368"/>
    <w:uiPriority w:val="0"/>
    <w:qFormat/>
    <w:rPr>
      <w:rFonts w:ascii="宋体" w:hAnsi="宋体" w:cs="宋体"/>
      <w:szCs w:val="28"/>
    </w:rPr>
  </w:style>
  <w:style w:type="paragraph" w:styleId="1368" w:customStyle="1">
    <w:name w:val="方案正文"/>
    <w:basedOn w:val="753"/>
    <w:next w:val="753"/>
    <w:link w:val="1367"/>
    <w:uiPriority w:val="0"/>
    <w:qFormat/>
    <w:pPr>
      <w:ind w:firstLine="200"/>
      <w:jc w:val="left"/>
      <w:spacing w:line="440" w:lineRule="exact"/>
    </w:pPr>
    <w:rPr>
      <w:rFonts w:ascii="宋体" w:hAnsi="宋体"/>
      <w:sz w:val="20"/>
      <w:szCs w:val="28"/>
      <w:lang w:eastAsia="en-US"/>
    </w:rPr>
  </w:style>
  <w:style w:type="character" w:styleId="1369" w:customStyle="1">
    <w:name w:val="标题 8 字符1"/>
    <w:uiPriority w:val="9"/>
    <w:qFormat/>
    <w:rPr>
      <w:rFonts w:ascii="Arial" w:hAnsi="Arial" w:eastAsia="黑体" w:cs="Times New Roman"/>
      <w:sz w:val="24"/>
      <w:szCs w:val="24"/>
    </w:rPr>
  </w:style>
  <w:style w:type="character" w:styleId="1370" w:customStyle="1">
    <w:name w:val="FA正文 Char"/>
    <w:link w:val="1371"/>
    <w:uiPriority w:val="0"/>
    <w:qFormat/>
    <w:rPr>
      <w:rFonts w:ascii="宋体" w:hAnsi="宋体"/>
      <w:spacing w:val="10"/>
      <w:sz w:val="24"/>
      <w:szCs w:val="24"/>
    </w:rPr>
  </w:style>
  <w:style w:type="paragraph" w:styleId="1371" w:customStyle="1">
    <w:name w:val="FA正文"/>
    <w:basedOn w:val="753"/>
    <w:link w:val="1370"/>
    <w:uiPriority w:val="0"/>
    <w:qFormat/>
    <w:pPr>
      <w:ind w:firstLine="520"/>
      <w:spacing w:line="360" w:lineRule="auto"/>
      <w:tabs>
        <w:tab w:val="left" w:pos="3375" w:leader="none"/>
      </w:tabs>
    </w:pPr>
    <w:rPr>
      <w:rFonts w:ascii="宋体" w:hAnsi="宋体"/>
      <w:spacing w:val="10"/>
      <w:sz w:val="24"/>
      <w:lang w:eastAsia="en-US"/>
    </w:rPr>
  </w:style>
  <w:style w:type="character" w:styleId="1372" w:customStyle="1">
    <w:name w:val="WW8Num18z7"/>
    <w:uiPriority w:val="0"/>
    <w:qFormat/>
    <w:rPr>
      <w:rFonts w:ascii="Wingdings" w:hAnsi="Wingdings"/>
    </w:rPr>
  </w:style>
  <w:style w:type="character" w:styleId="1373" w:customStyle="1">
    <w:name w:val="方案正文-样式 小四 行距: 1.5 倍行距 Char"/>
    <w:link w:val="1374"/>
    <w:uiPriority w:val="0"/>
    <w:qFormat/>
    <w:rPr>
      <w:sz w:val="24"/>
      <w:lang w:val="zh-CN"/>
    </w:rPr>
  </w:style>
  <w:style w:type="paragraph" w:styleId="1374" w:customStyle="1">
    <w:name w:val="方案正文-样式 小四 行距: 1.5 倍行距"/>
    <w:basedOn w:val="753"/>
    <w:link w:val="1373"/>
    <w:uiPriority w:val="0"/>
    <w:qFormat/>
    <w:pPr>
      <w:ind w:left="1134" w:firstLine="480"/>
      <w:spacing w:before="260" w:after="260" w:line="360" w:lineRule="auto"/>
    </w:pPr>
    <w:rPr>
      <w:sz w:val="24"/>
      <w:szCs w:val="20"/>
      <w:lang w:val="zh-CN" w:eastAsia="en-US"/>
    </w:rPr>
  </w:style>
  <w:style w:type="character" w:styleId="1375" w:customStyle="1">
    <w:name w:val="WW8Num36z2"/>
    <w:uiPriority w:val="0"/>
    <w:qFormat/>
    <w:rPr>
      <w:rFonts w:ascii="StarSymbol" w:hAnsi="StarSymbol" w:cs="StarSymbol"/>
      <w:sz w:val="18"/>
      <w:szCs w:val="18"/>
    </w:rPr>
  </w:style>
  <w:style w:type="character" w:styleId="1376" w:customStyle="1">
    <w:name w:val="label_list1"/>
    <w:uiPriority w:val="0"/>
    <w:qFormat/>
  </w:style>
  <w:style w:type="character" w:styleId="1377" w:customStyle="1">
    <w:name w:val="WW8Num9z0"/>
    <w:uiPriority w:val="0"/>
    <w:qFormat/>
    <w:rPr>
      <w:rFonts w:ascii="Wingdings" w:hAnsi="Wingdings" w:cs="StarSymbol"/>
      <w:sz w:val="18"/>
      <w:szCs w:val="18"/>
    </w:rPr>
  </w:style>
  <w:style w:type="character" w:styleId="1378" w:customStyle="1">
    <w:name w:val="p11b1"/>
    <w:uiPriority w:val="0"/>
    <w:qFormat/>
    <w:rPr>
      <w:color w:val="000000"/>
      <w:spacing w:val="320"/>
      <w:sz w:val="20"/>
      <w:szCs w:val="20"/>
      <w:u w:val="none"/>
    </w:rPr>
  </w:style>
  <w:style w:type="character" w:styleId="1379" w:customStyle="1">
    <w:name w:val="WW8Num8z1"/>
    <w:uiPriority w:val="0"/>
    <w:qFormat/>
    <w:rPr>
      <w:rFonts w:ascii="Wingdings 2" w:hAnsi="Wingdings 2" w:cs="StarSymbol"/>
      <w:sz w:val="18"/>
      <w:szCs w:val="18"/>
    </w:rPr>
  </w:style>
  <w:style w:type="character" w:styleId="1380" w:customStyle="1">
    <w:name w:val="Indent Normal Char"/>
    <w:uiPriority w:val="0"/>
    <w:qFormat/>
    <w:rPr>
      <w:rFonts w:hint="eastAsia" w:ascii="宋体" w:hAnsi="宋体" w:eastAsia="宋体"/>
      <w:sz w:val="21"/>
      <w:szCs w:val="24"/>
      <w:lang w:val="en-US" w:eastAsia="zh-CN" w:bidi="ar-SA"/>
    </w:rPr>
  </w:style>
  <w:style w:type="character" w:styleId="1381" w:customStyle="1">
    <w:name w:val="标题 2 字符1"/>
    <w:uiPriority w:val="0"/>
    <w:qFormat/>
    <w:rPr>
      <w:rFonts w:ascii="楷体" w:eastAsia="楷体"/>
      <w:b/>
      <w:bCs/>
      <w:color w:val="000000"/>
      <w:sz w:val="32"/>
      <w:szCs w:val="28"/>
    </w:rPr>
  </w:style>
  <w:style w:type="character" w:styleId="1382" w:customStyle="1">
    <w:name w:val="large1"/>
    <w:uiPriority w:val="0"/>
    <w:qFormat/>
    <w:rPr>
      <w:rFonts w:hint="eastAsia" w:ascii="宋体" w:hAnsi="宋体" w:eastAsia="宋体"/>
      <w:sz w:val="22"/>
      <w:szCs w:val="22"/>
    </w:rPr>
  </w:style>
  <w:style w:type="character" w:styleId="1383" w:customStyle="1">
    <w:name w:val="WW8Num32z1"/>
    <w:uiPriority w:val="0"/>
    <w:qFormat/>
    <w:rPr>
      <w:rFonts w:ascii="Wingdings 2" w:hAnsi="Wingdings 2" w:cs="StarSymbol"/>
      <w:sz w:val="18"/>
      <w:szCs w:val="18"/>
    </w:rPr>
  </w:style>
  <w:style w:type="character" w:styleId="1384" w:customStyle="1">
    <w:name w:val="f141"/>
    <w:uiPriority w:val="0"/>
    <w:qFormat/>
    <w:rPr>
      <w:sz w:val="21"/>
      <w:szCs w:val="21"/>
    </w:rPr>
  </w:style>
  <w:style w:type="character" w:styleId="1385" w:customStyle="1">
    <w:name w:val="WW8Num25z2"/>
    <w:uiPriority w:val="0"/>
    <w:qFormat/>
    <w:rPr>
      <w:rFonts w:ascii="StarSymbol" w:hAnsi="StarSymbol" w:cs="StarSymbol"/>
      <w:sz w:val="18"/>
      <w:szCs w:val="18"/>
    </w:rPr>
  </w:style>
  <w:style w:type="character" w:styleId="1386" w:customStyle="1">
    <w:name w:val="14_black1"/>
    <w:uiPriority w:val="0"/>
    <w:qFormat/>
    <w:rPr>
      <w:color w:val="000000"/>
      <w:sz w:val="23"/>
      <w:szCs w:val="23"/>
    </w:rPr>
  </w:style>
  <w:style w:type="character" w:styleId="1387" w:customStyle="1">
    <w:name w:val="WW8Num20z0"/>
    <w:uiPriority w:val="0"/>
    <w:qFormat/>
    <w:rPr>
      <w:rFonts w:ascii="Wingdings" w:hAnsi="Wingdings"/>
    </w:rPr>
  </w:style>
  <w:style w:type="character" w:styleId="1388" w:customStyle="1">
    <w:name w:val="正文2 Char Char"/>
    <w:uiPriority w:val="0"/>
    <w:qFormat/>
    <w:rPr>
      <w:rFonts w:hint="eastAsia" w:ascii="仿宋_GB2312" w:eastAsia="仿宋_GB2312"/>
      <w:sz w:val="24"/>
    </w:rPr>
  </w:style>
  <w:style w:type="character" w:styleId="1389" w:customStyle="1">
    <w:name w:val="WW8Num2z0"/>
    <w:uiPriority w:val="0"/>
    <w:qFormat/>
    <w:rPr>
      <w:rFonts w:ascii="Wingdings" w:hAnsi="Wingdings" w:cs="StarSymbol"/>
      <w:sz w:val="18"/>
      <w:szCs w:val="18"/>
    </w:rPr>
  </w:style>
  <w:style w:type="character" w:styleId="1390" w:customStyle="1">
    <w:name w:val="mini-tree-nodetext2"/>
    <w:basedOn w:val="816"/>
    <w:uiPriority w:val="0"/>
    <w:qFormat/>
  </w:style>
  <w:style w:type="character" w:styleId="1391" w:customStyle="1">
    <w:name w:val="WW8Num8z2"/>
    <w:uiPriority w:val="0"/>
    <w:qFormat/>
    <w:rPr>
      <w:rFonts w:ascii="StarSymbol" w:hAnsi="StarSymbol" w:cs="StarSymbol"/>
      <w:sz w:val="18"/>
      <w:szCs w:val="18"/>
    </w:rPr>
  </w:style>
  <w:style w:type="character" w:styleId="1392" w:customStyle="1">
    <w:name w:val="before"/>
    <w:basedOn w:val="816"/>
    <w:uiPriority w:val="0"/>
    <w:qFormat/>
  </w:style>
  <w:style w:type="character" w:styleId="1393" w:customStyle="1">
    <w:name w:val="WW8Num39z0"/>
    <w:uiPriority w:val="0"/>
    <w:qFormat/>
    <w:rPr>
      <w:rFonts w:ascii="Wingdings" w:hAnsi="Wingdings" w:cs="StarSymbol"/>
      <w:sz w:val="18"/>
      <w:szCs w:val="18"/>
    </w:rPr>
  </w:style>
  <w:style w:type="character" w:styleId="1394" w:customStyle="1">
    <w:name w:val="first-child"/>
    <w:basedOn w:val="816"/>
    <w:uiPriority w:val="0"/>
    <w:qFormat/>
  </w:style>
  <w:style w:type="character" w:styleId="1395" w:customStyle="1">
    <w:name w:val="WW8Num6z0"/>
    <w:uiPriority w:val="0"/>
    <w:qFormat/>
    <w:rPr>
      <w:rFonts w:ascii="Wingdings" w:hAnsi="Wingdings" w:cs="StarSymbol"/>
      <w:sz w:val="18"/>
      <w:szCs w:val="18"/>
    </w:rPr>
  </w:style>
  <w:style w:type="character" w:styleId="1396" w:customStyle="1">
    <w:name w:val="icon501"/>
    <w:uiPriority w:val="0"/>
    <w:qFormat/>
    <w:rPr>
      <w:color w:val="a6a6a6"/>
      <w:sz w:val="27"/>
      <w:szCs w:val="27"/>
    </w:rPr>
  </w:style>
  <w:style w:type="character" w:styleId="1397" w:customStyle="1">
    <w:name w:val="WW8Num36z0"/>
    <w:uiPriority w:val="0"/>
    <w:qFormat/>
    <w:rPr>
      <w:rFonts w:ascii="Wingdings" w:hAnsi="Wingdings" w:cs="StarSymbol"/>
      <w:sz w:val="18"/>
      <w:szCs w:val="18"/>
    </w:rPr>
  </w:style>
  <w:style w:type="character" w:styleId="1398" w:customStyle="1">
    <w:name w:val="range-menu-item-main-content"/>
    <w:basedOn w:val="816"/>
    <w:uiPriority w:val="0"/>
    <w:qFormat/>
  </w:style>
  <w:style w:type="character" w:styleId="1399" w:customStyle="1">
    <w:name w:val="WW8Num37z2"/>
    <w:uiPriority w:val="0"/>
    <w:qFormat/>
    <w:rPr>
      <w:rFonts w:ascii="StarSymbol" w:hAnsi="StarSymbol" w:cs="StarSymbol"/>
      <w:sz w:val="18"/>
      <w:szCs w:val="18"/>
    </w:rPr>
  </w:style>
  <w:style w:type="character" w:styleId="1400" w:customStyle="1">
    <w:name w:val="first-child1"/>
    <w:basedOn w:val="816"/>
    <w:uiPriority w:val="0"/>
    <w:qFormat/>
  </w:style>
  <w:style w:type="character" w:styleId="1401" w:customStyle="1">
    <w:name w:val="默认段落字体1"/>
    <w:link w:val="753"/>
    <w:uiPriority w:val="0"/>
    <w:qFormat/>
    <w:rPr>
      <w:rFonts w:ascii="Times New Roman" w:hAnsi="Times New Roman" w:eastAsia="宋体" w:cs="Times New Roman"/>
      <w:sz w:val="21"/>
      <w:szCs w:val="24"/>
      <w:lang w:val="en-US" w:eastAsia="zh-CN" w:bidi="ar-SA"/>
    </w:rPr>
  </w:style>
  <w:style w:type="character" w:styleId="1402" w:customStyle="1">
    <w:name w:val="active__1oyv"/>
    <w:uiPriority w:val="0"/>
    <w:qFormat/>
    <w:rPr>
      <w:color w:val="383838"/>
    </w:rPr>
  </w:style>
  <w:style w:type="character" w:styleId="1403" w:customStyle="1">
    <w:name w:val="WW8Num36z1"/>
    <w:uiPriority w:val="0"/>
    <w:qFormat/>
    <w:rPr>
      <w:rFonts w:ascii="Wingdings 2" w:hAnsi="Wingdings 2" w:cs="StarSymbol"/>
      <w:sz w:val="18"/>
      <w:szCs w:val="18"/>
    </w:rPr>
  </w:style>
  <w:style w:type="character" w:styleId="1404" w:customStyle="1">
    <w:name w:val="icon499"/>
    <w:uiPriority w:val="0"/>
    <w:qFormat/>
    <w:rPr>
      <w:color w:val="a6a6a6"/>
      <w:sz w:val="27"/>
      <w:szCs w:val="27"/>
    </w:rPr>
  </w:style>
  <w:style w:type="character" w:styleId="1405" w:customStyle="1">
    <w:name w:val="main1"/>
    <w:uiPriority w:val="0"/>
    <w:qFormat/>
    <w:rPr>
      <w:rFonts w:ascii="ˎ̥" w:hAnsi="ˎ̥" w:eastAsia="宋体"/>
      <w:b/>
      <w:sz w:val="21"/>
      <w:szCs w:val="21"/>
      <w:lang w:val="en-US" w:eastAsia="zh-CN" w:bidi="ar-SA"/>
    </w:rPr>
  </w:style>
  <w:style w:type="character" w:styleId="1406" w:customStyle="1">
    <w:name w:val="first-child2"/>
    <w:basedOn w:val="816"/>
    <w:uiPriority w:val="0"/>
    <w:qFormat/>
  </w:style>
  <w:style w:type="character" w:styleId="140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8" w:customStyle="1">
    <w:name w:val="icon500"/>
    <w:basedOn w:val="816"/>
    <w:uiPriority w:val="0"/>
    <w:qFormat/>
  </w:style>
  <w:style w:type="character" w:styleId="1409" w:customStyle="1">
    <w:name w:val="WW8Num15z2"/>
    <w:uiPriority w:val="0"/>
    <w:qFormat/>
    <w:rPr>
      <w:rFonts w:ascii="StarSymbol" w:hAnsi="StarSymbol" w:cs="StarSymbol"/>
      <w:sz w:val="18"/>
      <w:szCs w:val="18"/>
    </w:rPr>
  </w:style>
  <w:style w:type="character" w:styleId="1410" w:customStyle="1">
    <w:name w:val="range-menu-item-main-content1"/>
    <w:basedOn w:val="816"/>
    <w:uiPriority w:val="0"/>
    <w:qFormat/>
  </w:style>
  <w:style w:type="character" w:styleId="1411" w:customStyle="1">
    <w:name w:val="WW8Num3z0"/>
    <w:uiPriority w:val="0"/>
    <w:qFormat/>
    <w:rPr>
      <w:rFonts w:ascii="Wingdings" w:hAnsi="Wingdings" w:cs="StarSymbol"/>
      <w:sz w:val="18"/>
      <w:szCs w:val="18"/>
    </w:rPr>
  </w:style>
  <w:style w:type="character" w:styleId="1412" w:customStyle="1">
    <w:name w:val="overdue"/>
    <w:basedOn w:val="816"/>
    <w:uiPriority w:val="0"/>
    <w:qFormat/>
  </w:style>
  <w:style w:type="character" w:styleId="1413" w:customStyle="1">
    <w:name w:val="正文文本 字符1"/>
    <w:uiPriority w:val="0"/>
    <w:semiHidden/>
    <w:qFormat/>
    <w:rPr>
      <w:rFonts w:ascii="Times New Roman" w:hAnsi="Times New Roman" w:eastAsia="方正仿宋_GBK" w:cs="Times New Roman"/>
      <w:sz w:val="24"/>
      <w:szCs w:val="20"/>
    </w:rPr>
  </w:style>
  <w:style w:type="character" w:styleId="1414" w:customStyle="1">
    <w:name w:val="overdue2"/>
    <w:basedOn w:val="816"/>
    <w:uiPriority w:val="0"/>
    <w:qFormat/>
  </w:style>
  <w:style w:type="character" w:styleId="1415" w:customStyle="1">
    <w:name w:val="表头样式 Char"/>
    <w:uiPriority w:val="0"/>
    <w:qFormat/>
    <w:rPr>
      <w:rFonts w:ascii="Arial" w:hAnsi="Arial" w:cs="Arial"/>
      <w:b/>
      <w:sz w:val="21"/>
      <w:szCs w:val="21"/>
    </w:rPr>
  </w:style>
  <w:style w:type="character" w:styleId="1416" w:customStyle="1">
    <w:name w:val="dls-icon[data-role=icon]"/>
    <w:uiPriority w:val="0"/>
    <w:qFormat/>
    <w:rPr>
      <w:sz w:val="24"/>
      <w:szCs w:val="24"/>
    </w:rPr>
  </w:style>
  <w:style w:type="character" w:styleId="1417" w:customStyle="1">
    <w:name w:val="maintext1"/>
    <w:uiPriority w:val="0"/>
    <w:qFormat/>
    <w:rPr>
      <w:rFonts w:ascii="Arial" w:hAnsi="Arial" w:cs="Arial"/>
      <w:color w:val="000000"/>
      <w:sz w:val="18"/>
      <w:szCs w:val="18"/>
    </w:rPr>
  </w:style>
  <w:style w:type="character" w:styleId="1418" w:customStyle="1">
    <w:name w:val="icon502"/>
    <w:uiPriority w:val="0"/>
    <w:qFormat/>
    <w:rPr>
      <w:color w:val="a6a6a6"/>
      <w:sz w:val="27"/>
      <w:szCs w:val="27"/>
    </w:rPr>
  </w:style>
  <w:style w:type="character" w:styleId="1419" w:customStyle="1">
    <w:name w:val="tw4winMark"/>
    <w:uiPriority w:val="0"/>
    <w:qFormat/>
    <w:rPr>
      <w:rFonts w:ascii="Courier New" w:hAnsi="Courier New" w:cs="Courier New"/>
      <w:vanish/>
      <w:color w:val="800080"/>
      <w:vertAlign w:val="subscript"/>
    </w:rPr>
  </w:style>
  <w:style w:type="character" w:styleId="1420" w:customStyle="1">
    <w:name w:val="列表段落 字符"/>
    <w:link w:val="1421"/>
    <w:uiPriority w:val="0"/>
    <w:qFormat/>
    <w:rPr>
      <w:szCs w:val="24"/>
    </w:rPr>
  </w:style>
  <w:style w:type="paragraph" w:styleId="1421" w:customStyle="1">
    <w:name w:val="列表段落1"/>
    <w:basedOn w:val="753"/>
    <w:link w:val="1420"/>
    <w:uiPriority w:val="0"/>
    <w:qFormat/>
    <w:pPr>
      <w:ind w:firstLine="420"/>
    </w:pPr>
    <w:rPr>
      <w:sz w:val="20"/>
      <w:lang w:eastAsia="en-US"/>
    </w:rPr>
  </w:style>
  <w:style w:type="character" w:styleId="1422" w:customStyle="1">
    <w:name w:val="称呼 Char1"/>
    <w:uiPriority w:val="0"/>
    <w:qFormat/>
    <w:rPr>
      <w:sz w:val="21"/>
    </w:rPr>
  </w:style>
  <w:style w:type="character" w:styleId="1423" w:customStyle="1">
    <w:name w:val="批注主题 Char3"/>
    <w:uiPriority w:val="99"/>
    <w:qFormat/>
    <w:rPr>
      <w:rFonts w:ascii="Times New Roman" w:hAnsi="Times New Roman" w:eastAsia="宋体" w:cs="Times New Roman"/>
      <w:b/>
      <w:bCs/>
      <w:szCs w:val="24"/>
      <w:lang w:val="zh-CN"/>
    </w:rPr>
  </w:style>
  <w:style w:type="character" w:styleId="1424" w:customStyle="1">
    <w:name w:val="正文Normal Char"/>
    <w:uiPriority w:val="0"/>
    <w:qFormat/>
    <w:rPr>
      <w:rFonts w:ascii="Arial" w:hAnsi="Arial" w:cs="Arial"/>
      <w:sz w:val="24"/>
      <w:szCs w:val="24"/>
    </w:rPr>
  </w:style>
  <w:style w:type="character" w:styleId="1425" w:customStyle="1">
    <w:name w:val="定制正文 Arial 小四 首行缩进:  0.74 厘米 行距: 1.5 倍行距1 + 宋体 Char"/>
    <w:link w:val="1426"/>
    <w:uiPriority w:val="0"/>
    <w:qFormat/>
    <w:rPr>
      <w:rFonts w:ascii="Arial" w:hAnsi="Arial" w:cs="宋体"/>
      <w:bCs/>
      <w:szCs w:val="21"/>
    </w:rPr>
  </w:style>
  <w:style w:type="paragraph" w:styleId="1426" w:customStyle="1">
    <w:name w:val="定制正文 Arial 小四 首行缩进:  0.74 厘米 行距: 1.5 倍行距1 + 宋体"/>
    <w:basedOn w:val="753"/>
    <w:link w:val="1425"/>
    <w:uiPriority w:val="0"/>
    <w:qFormat/>
    <w:pPr>
      <w:ind w:firstLine="420"/>
      <w:spacing w:line="360" w:lineRule="auto"/>
    </w:pPr>
    <w:rPr>
      <w:rFonts w:ascii="Arial" w:hAnsi="Arial"/>
      <w:bCs/>
      <w:sz w:val="20"/>
      <w:szCs w:val="21"/>
      <w:lang w:eastAsia="en-US"/>
    </w:rPr>
  </w:style>
  <w:style w:type="character" w:styleId="1427" w:customStyle="1">
    <w:name w:val="WW8Num16z1"/>
    <w:uiPriority w:val="0"/>
    <w:qFormat/>
    <w:rPr>
      <w:rFonts w:ascii="Wingdings" w:hAnsi="Wingdings"/>
    </w:rPr>
  </w:style>
  <w:style w:type="character" w:styleId="1428" w:customStyle="1">
    <w:name w:val="Indent Normal Char1"/>
    <w:link w:val="1429"/>
    <w:uiPriority w:val="0"/>
    <w:qFormat/>
    <w:rPr>
      <w:sz w:val="24"/>
      <w:szCs w:val="24"/>
    </w:rPr>
  </w:style>
  <w:style w:type="paragraph" w:styleId="1429" w:customStyle="1">
    <w:name w:val="Indent Normal"/>
    <w:basedOn w:val="753"/>
    <w:link w:val="1428"/>
    <w:uiPriority w:val="0"/>
    <w:qFormat/>
    <w:pPr>
      <w:ind w:firstLine="150"/>
      <w:spacing w:line="360" w:lineRule="auto"/>
    </w:pPr>
    <w:rPr>
      <w:sz w:val="24"/>
      <w:lang w:eastAsia="en-US"/>
    </w:rPr>
  </w:style>
  <w:style w:type="character" w:styleId="1430" w:customStyle="1">
    <w:name w:val="WW8Num7z2"/>
    <w:uiPriority w:val="0"/>
    <w:qFormat/>
    <w:rPr>
      <w:rFonts w:ascii="StarSymbol" w:hAnsi="StarSymbol" w:cs="StarSymbol"/>
      <w:sz w:val="18"/>
      <w:szCs w:val="18"/>
    </w:rPr>
  </w:style>
  <w:style w:type="character" w:styleId="1431" w:customStyle="1">
    <w:name w:val="正文-new Char"/>
    <w:link w:val="1432"/>
    <w:uiPriority w:val="0"/>
    <w:qFormat/>
    <w:rPr>
      <w:rFonts w:ascii="宋体" w:hAnsi="宋体" w:cs="宋体"/>
      <w:szCs w:val="21"/>
    </w:rPr>
  </w:style>
  <w:style w:type="paragraph" w:styleId="1432" w:customStyle="1">
    <w:name w:val="正文-new"/>
    <w:basedOn w:val="753"/>
    <w:link w:val="1431"/>
    <w:uiPriority w:val="0"/>
    <w:qFormat/>
    <w:pPr>
      <w:ind w:firstLine="425"/>
      <w:spacing w:line="360" w:lineRule="auto"/>
    </w:pPr>
    <w:rPr>
      <w:rFonts w:ascii="宋体" w:hAnsi="宋体"/>
      <w:sz w:val="20"/>
      <w:szCs w:val="21"/>
      <w:lang w:eastAsia="en-US"/>
    </w:rPr>
  </w:style>
  <w:style w:type="character" w:styleId="1433" w:customStyle="1">
    <w:name w:val="WW8Num24z0"/>
    <w:uiPriority w:val="0"/>
    <w:qFormat/>
    <w:rPr>
      <w:rFonts w:ascii="Wingdings" w:hAnsi="Wingdings" w:cs="StarSymbol"/>
      <w:sz w:val="18"/>
      <w:szCs w:val="18"/>
    </w:rPr>
  </w:style>
  <w:style w:type="character" w:styleId="1434" w:customStyle="1">
    <w:name w:val="_正文段落 Char"/>
    <w:uiPriority w:val="0"/>
    <w:qFormat/>
    <w:rPr>
      <w:sz w:val="24"/>
      <w:szCs w:val="24"/>
    </w:rPr>
  </w:style>
  <w:style w:type="character" w:styleId="1435" w:customStyle="1">
    <w:name w:val="WW8Num33z2"/>
    <w:uiPriority w:val="0"/>
    <w:qFormat/>
    <w:rPr>
      <w:rFonts w:ascii="StarSymbol" w:hAnsi="StarSymbol" w:cs="StarSymbol"/>
      <w:sz w:val="18"/>
      <w:szCs w:val="18"/>
    </w:rPr>
  </w:style>
  <w:style w:type="character" w:styleId="1436" w:customStyle="1">
    <w:name w:val="样式 宋体 小四 段前: 7.8 磅 行距: 1.5 倍行距 Char"/>
    <w:link w:val="1437"/>
    <w:uiPriority w:val="0"/>
    <w:qFormat/>
    <w:rPr>
      <w:rFonts w:ascii="宋体" w:hAnsi="宋体"/>
      <w:szCs w:val="21"/>
    </w:rPr>
  </w:style>
  <w:style w:type="paragraph" w:styleId="1437" w:customStyle="1">
    <w:name w:val="样式 宋体 小四 段前: 7.8 磅 行距: 1.5 倍行距"/>
    <w:basedOn w:val="753"/>
    <w:link w:val="1436"/>
    <w:uiPriority w:val="0"/>
    <w:qFormat/>
    <w:pPr>
      <w:ind w:firstLine="420"/>
      <w:jc w:val="left"/>
      <w:spacing w:line="360" w:lineRule="auto"/>
    </w:pPr>
    <w:rPr>
      <w:rFonts w:ascii="宋体" w:hAnsi="宋体"/>
      <w:sz w:val="20"/>
      <w:szCs w:val="21"/>
      <w:lang w:eastAsia="en-US"/>
    </w:rPr>
  </w:style>
  <w:style w:type="character" w:styleId="1438" w:customStyle="1">
    <w:name w:val="WW8Num38z1"/>
    <w:uiPriority w:val="0"/>
    <w:qFormat/>
    <w:rPr>
      <w:rFonts w:ascii="Wingdings 2" w:hAnsi="Wingdings 2" w:cs="StarSymbol"/>
      <w:sz w:val="18"/>
      <w:szCs w:val="18"/>
    </w:rPr>
  </w:style>
  <w:style w:type="character" w:styleId="1439" w:customStyle="1">
    <w:name w:val="表格样式 宋体 5号 Char"/>
    <w:link w:val="1440"/>
    <w:uiPriority w:val="0"/>
    <w:qFormat/>
    <w:rPr>
      <w:rFonts w:ascii="宋体" w:hAnsi="宋体"/>
      <w:szCs w:val="21"/>
      <w:lang w:val="zh-CN"/>
    </w:rPr>
  </w:style>
  <w:style w:type="paragraph" w:styleId="1440" w:customStyle="1">
    <w:name w:val="表格样式 宋体 5号"/>
    <w:basedOn w:val="753"/>
    <w:link w:val="1439"/>
    <w:uiPriority w:val="0"/>
    <w:qFormat/>
    <w:pPr>
      <w:jc w:val="left"/>
    </w:pPr>
    <w:rPr>
      <w:rFonts w:ascii="宋体" w:hAnsi="宋体"/>
      <w:sz w:val="20"/>
      <w:szCs w:val="21"/>
      <w:lang w:val="zh-CN" w:eastAsia="en-US"/>
    </w:rPr>
  </w:style>
  <w:style w:type="character" w:styleId="1441" w:customStyle="1">
    <w:name w:val="WW8Num7z1"/>
    <w:uiPriority w:val="0"/>
    <w:qFormat/>
    <w:rPr>
      <w:rFonts w:ascii="Wingdings 2" w:hAnsi="Wingdings 2" w:cs="StarSymbol"/>
      <w:sz w:val="18"/>
      <w:szCs w:val="18"/>
    </w:rPr>
  </w:style>
  <w:style w:type="character" w:styleId="1442" w:customStyle="1">
    <w:name w:val="样式 宋体 四号"/>
    <w:uiPriority w:val="0"/>
    <w:qFormat/>
    <w:rPr>
      <w:rFonts w:ascii="宋体" w:hAnsi="宋体" w:eastAsia="仿宋_GB2312"/>
      <w:sz w:val="28"/>
    </w:rPr>
  </w:style>
  <w:style w:type="character" w:styleId="1443" w:customStyle="1">
    <w:name w:val="WW8Num17z2"/>
    <w:uiPriority w:val="0"/>
    <w:qFormat/>
    <w:rPr>
      <w:rFonts w:ascii="StarSymbol" w:hAnsi="StarSymbol" w:cs="StarSymbol"/>
      <w:sz w:val="18"/>
      <w:szCs w:val="18"/>
    </w:rPr>
  </w:style>
  <w:style w:type="character" w:styleId="1444" w:customStyle="1">
    <w:name w:val="我的正文 Char"/>
    <w:link w:val="1445"/>
    <w:uiPriority w:val="0"/>
    <w:qFormat/>
    <w:rPr>
      <w:rFonts w:ascii="Arial" w:hAnsi="Arial"/>
      <w:sz w:val="24"/>
      <w:szCs w:val="18"/>
    </w:rPr>
  </w:style>
  <w:style w:type="paragraph" w:styleId="1445" w:customStyle="1">
    <w:name w:val="我的正文"/>
    <w:basedOn w:val="753"/>
    <w:link w:val="1444"/>
    <w:uiPriority w:val="0"/>
    <w:qFormat/>
    <w:pPr>
      <w:ind w:firstLine="200"/>
      <w:spacing w:line="360" w:lineRule="auto"/>
      <w:widowControl/>
    </w:pPr>
    <w:rPr>
      <w:rFonts w:ascii="Arial" w:hAnsi="Arial"/>
      <w:sz w:val="24"/>
      <w:szCs w:val="18"/>
      <w:lang w:eastAsia="en-US"/>
    </w:rPr>
  </w:style>
  <w:style w:type="character" w:styleId="1446" w:customStyle="1">
    <w:name w:val="WW8Num10z1"/>
    <w:uiPriority w:val="0"/>
    <w:qFormat/>
    <w:rPr>
      <w:rFonts w:ascii="Wingdings 2" w:hAnsi="Wingdings 2" w:cs="StarSymbol"/>
      <w:sz w:val="18"/>
      <w:szCs w:val="18"/>
    </w:rPr>
  </w:style>
  <w:style w:type="character" w:styleId="1447" w:customStyle="1">
    <w:name w:val="脚注文本 字符"/>
    <w:uiPriority w:val="0"/>
    <w:qFormat/>
    <w:rPr>
      <w:rFonts w:ascii="Times New Roman" w:hAnsi="Times New Roman" w:eastAsia="宋体" w:cs="Times New Roman"/>
      <w:sz w:val="18"/>
      <w:szCs w:val="18"/>
    </w:rPr>
  </w:style>
  <w:style w:type="character" w:styleId="1448" w:customStyle="1">
    <w:name w:val="WW8Num27z0"/>
    <w:uiPriority w:val="0"/>
    <w:qFormat/>
    <w:rPr>
      <w:rFonts w:ascii="Wingdings" w:hAnsi="Wingdings" w:cs="StarSymbol"/>
      <w:sz w:val="18"/>
      <w:szCs w:val="18"/>
    </w:rPr>
  </w:style>
  <w:style w:type="character" w:styleId="1449" w:customStyle="1">
    <w:name w:val="脚注文本 Char2"/>
    <w:uiPriority w:val="0"/>
    <w:qFormat/>
    <w:rPr>
      <w:rFonts w:ascii="Times New Roman" w:hAnsi="Times New Roman" w:eastAsia="宋体" w:cs="Times New Roman"/>
      <w:sz w:val="18"/>
      <w:szCs w:val="18"/>
    </w:rPr>
  </w:style>
  <w:style w:type="character" w:styleId="1450" w:customStyle="1">
    <w:name w:val="WW8Num10z2"/>
    <w:uiPriority w:val="0"/>
    <w:qFormat/>
    <w:rPr>
      <w:rFonts w:ascii="StarSymbol" w:hAnsi="StarSymbol" w:cs="StarSymbol"/>
      <w:sz w:val="18"/>
      <w:szCs w:val="18"/>
    </w:rPr>
  </w:style>
  <w:style w:type="character" w:styleId="1451" w:customStyle="1">
    <w:name w:val="HTML 地址 字符"/>
    <w:uiPriority w:val="0"/>
    <w:qFormat/>
    <w:rPr>
      <w:rFonts w:ascii="Times New Roman" w:hAnsi="Times New Roman" w:eastAsia="宋体" w:cs="Times New Roman"/>
      <w:i/>
      <w:iCs/>
      <w:szCs w:val="24"/>
    </w:rPr>
  </w:style>
  <w:style w:type="character" w:styleId="1452" w:customStyle="1">
    <w:name w:val="pi1"/>
    <w:uiPriority w:val="0"/>
    <w:qFormat/>
    <w:rPr>
      <w:color w:val="0000ff"/>
    </w:rPr>
  </w:style>
  <w:style w:type="character" w:styleId="1453" w:customStyle="1">
    <w:name w:val="HTML 地址 Char2"/>
    <w:uiPriority w:val="0"/>
    <w:qFormat/>
    <w:rPr>
      <w:i/>
      <w:iCs/>
      <w:szCs w:val="24"/>
    </w:rPr>
  </w:style>
  <w:style w:type="character" w:styleId="1454" w:customStyle="1">
    <w:name w:val="WW-Absatz-Standardschriftart"/>
    <w:uiPriority w:val="0"/>
    <w:qFormat/>
  </w:style>
  <w:style w:type="character" w:styleId="1455" w:customStyle="1">
    <w:name w:val="HTML 预设格式 字符"/>
    <w:uiPriority w:val="0"/>
    <w:qFormat/>
    <w:rPr>
      <w:rFonts w:ascii="Courier New" w:hAnsi="Courier New" w:eastAsia="宋体" w:cs="Courier New"/>
      <w:sz w:val="20"/>
      <w:szCs w:val="20"/>
    </w:rPr>
  </w:style>
  <w:style w:type="character" w:styleId="1456" w:customStyle="1">
    <w:name w:val="WW8Num27z1"/>
    <w:uiPriority w:val="0"/>
    <w:qFormat/>
    <w:rPr>
      <w:rFonts w:ascii="Wingdings 2" w:hAnsi="Wingdings 2" w:cs="StarSymbol"/>
      <w:sz w:val="18"/>
      <w:szCs w:val="18"/>
    </w:rPr>
  </w:style>
  <w:style w:type="character" w:styleId="1457" w:customStyle="1">
    <w:name w:val="HTML 预设格式 Char2"/>
    <w:uiPriority w:val="0"/>
    <w:qFormat/>
    <w:rPr>
      <w:rFonts w:ascii="Courier New" w:hAnsi="Courier New" w:cs="Courier New"/>
    </w:rPr>
  </w:style>
  <w:style w:type="character" w:styleId="1458" w:customStyle="1">
    <w:name w:val="WW8Num20z2"/>
    <w:uiPriority w:val="0"/>
    <w:qFormat/>
    <w:rPr>
      <w:rFonts w:ascii="StarSymbol" w:hAnsi="StarSymbol" w:cs="StarSymbol"/>
      <w:sz w:val="18"/>
      <w:szCs w:val="18"/>
    </w:rPr>
  </w:style>
  <w:style w:type="character" w:styleId="1459" w:customStyle="1">
    <w:name w:val="发布"/>
    <w:uiPriority w:val="0"/>
    <w:qFormat/>
    <w:rPr>
      <w:rFonts w:ascii="黑体" w:eastAsia="黑体"/>
      <w:spacing w:val="22"/>
      <w:position w:val="3"/>
      <w:sz w:val="28"/>
    </w:rPr>
  </w:style>
  <w:style w:type="character" w:styleId="1460" w:customStyle="1">
    <w:name w:val="WW8Num29z0"/>
    <w:uiPriority w:val="0"/>
    <w:qFormat/>
    <w:rPr>
      <w:rFonts w:ascii="Wingdings" w:hAnsi="Wingdings" w:cs="StarSymbol"/>
      <w:sz w:val="18"/>
      <w:szCs w:val="18"/>
    </w:rPr>
  </w:style>
  <w:style w:type="character" w:styleId="1461" w:customStyle="1">
    <w:name w:val="EmailStyle87"/>
    <w:uiPriority w:val="0"/>
    <w:qFormat/>
    <w:rPr>
      <w:rFonts w:ascii="Arial" w:hAnsi="Arial" w:eastAsia="宋体" w:cs="Arial"/>
      <w:color w:val="000000"/>
      <w:sz w:val="20"/>
    </w:rPr>
  </w:style>
  <w:style w:type="character" w:styleId="1462" w:customStyle="1">
    <w:name w:val="WW8Num24z2"/>
    <w:uiPriority w:val="0"/>
    <w:qFormat/>
    <w:rPr>
      <w:rFonts w:ascii="StarSymbol" w:hAnsi="StarSymbol" w:cs="StarSymbol"/>
      <w:sz w:val="18"/>
      <w:szCs w:val="18"/>
    </w:rPr>
  </w:style>
  <w:style w:type="character" w:styleId="1463" w:customStyle="1">
    <w:name w:val="EmailStyle88"/>
    <w:uiPriority w:val="0"/>
    <w:qFormat/>
    <w:rPr>
      <w:rFonts w:ascii="Arial" w:hAnsi="Arial" w:eastAsia="宋体" w:cs="Arial"/>
      <w:color w:val="000000"/>
      <w:sz w:val="20"/>
    </w:rPr>
  </w:style>
  <w:style w:type="character" w:styleId="1464" w:customStyle="1">
    <w:name w:val="称呼 字符1"/>
    <w:uiPriority w:val="0"/>
    <w:qFormat/>
    <w:rPr>
      <w:rFonts w:ascii="Times New Roman" w:hAnsi="Times New Roman" w:eastAsia="宋体" w:cs="Times New Roman"/>
      <w:szCs w:val="24"/>
    </w:rPr>
  </w:style>
  <w:style w:type="character" w:styleId="1465" w:customStyle="1">
    <w:name w:val="FA正文 Char Char"/>
    <w:uiPriority w:val="0"/>
    <w:qFormat/>
    <w:rPr>
      <w:rFonts w:hAnsi="宋体" w:cs="宋体"/>
      <w:sz w:val="24"/>
      <w:szCs w:val="21"/>
    </w:rPr>
  </w:style>
  <w:style w:type="character" w:styleId="1466" w:customStyle="1">
    <w:name w:val="副标题 字符1"/>
    <w:uiPriority w:val="0"/>
    <w:qFormat/>
    <w:rPr>
      <w:b/>
      <w:bCs/>
      <w:sz w:val="32"/>
      <w:szCs w:val="32"/>
    </w:rPr>
  </w:style>
  <w:style w:type="character" w:styleId="1467" w:customStyle="1">
    <w:name w:val="注释标题 字符"/>
    <w:uiPriority w:val="0"/>
    <w:qFormat/>
    <w:rPr>
      <w:rFonts w:ascii="Times New Roman" w:hAnsi="Times New Roman" w:eastAsia="宋体" w:cs="Times New Roman"/>
      <w:szCs w:val="24"/>
    </w:rPr>
  </w:style>
  <w:style w:type="character" w:styleId="1468" w:customStyle="1">
    <w:name w:val="正文文本首行缩进 2 字符1"/>
    <w:basedOn w:val="1338"/>
    <w:uiPriority w:val="0"/>
    <w:qFormat/>
    <w:rPr>
      <w:rFonts w:ascii="Times New Roman" w:hAnsi="Times New Roman" w:eastAsia="宋体" w:cs="Times New Roman"/>
      <w:szCs w:val="24"/>
      <w:lang w:val="zh-CN" w:eastAsia="zh-CN"/>
    </w:rPr>
  </w:style>
  <w:style w:type="character" w:styleId="1469" w:customStyle="1">
    <w:name w:val="注释标题 Char3"/>
    <w:uiPriority w:val="0"/>
    <w:qFormat/>
    <w:rPr>
      <w:szCs w:val="24"/>
    </w:rPr>
  </w:style>
  <w:style w:type="character" w:styleId="1470" w:customStyle="1">
    <w:name w:val="Char Char312"/>
    <w:uiPriority w:val="0"/>
    <w:qFormat/>
    <w:rPr>
      <w:rFonts w:eastAsia="宋体"/>
      <w:sz w:val="21"/>
      <w:szCs w:val="24"/>
      <w:lang w:val="en-US" w:eastAsia="zh-CN" w:bidi="ar-SA"/>
    </w:rPr>
  </w:style>
  <w:style w:type="character" w:styleId="1471" w:customStyle="1">
    <w:name w:val="EmailStyle127"/>
    <w:uiPriority w:val="0"/>
    <w:qFormat/>
    <w:rPr>
      <w:rFonts w:ascii="Arial" w:hAnsi="Arial" w:eastAsia="宋体" w:cs="Arial"/>
      <w:color w:val="000000"/>
      <w:sz w:val="20"/>
    </w:rPr>
  </w:style>
  <w:style w:type="character" w:styleId="1472" w:customStyle="1">
    <w:name w:val="!BECC正文 Char"/>
    <w:link w:val="1473"/>
    <w:uiPriority w:val="0"/>
    <w:qFormat/>
    <w:rPr>
      <w:sz w:val="24"/>
      <w:szCs w:val="24"/>
    </w:rPr>
  </w:style>
  <w:style w:type="paragraph" w:styleId="1473" w:customStyle="1">
    <w:name w:val="!BECC正文"/>
    <w:basedOn w:val="753"/>
    <w:link w:val="1472"/>
    <w:uiPriority w:val="0"/>
    <w:qFormat/>
    <w:pPr>
      <w:contextualSpacing/>
      <w:ind w:firstLine="200"/>
      <w:spacing w:line="360" w:lineRule="auto"/>
      <w:tabs>
        <w:tab w:val="left" w:pos="0" w:leader="none"/>
      </w:tabs>
    </w:pPr>
    <w:rPr>
      <w:sz w:val="24"/>
      <w:lang w:eastAsia="en-US"/>
    </w:rPr>
  </w:style>
  <w:style w:type="character" w:styleId="1474" w:customStyle="1">
    <w:name w:val="EmailStyle128"/>
    <w:uiPriority w:val="0"/>
    <w:qFormat/>
    <w:rPr>
      <w:rFonts w:ascii="Arial" w:hAnsi="Arial" w:eastAsia="宋体" w:cs="Arial"/>
      <w:color w:val="000000"/>
      <w:sz w:val="20"/>
    </w:rPr>
  </w:style>
  <w:style w:type="character" w:styleId="1475" w:customStyle="1">
    <w:name w:val="ordinary-span-edit2"/>
    <w:uiPriority w:val="0"/>
    <w:qFormat/>
  </w:style>
  <w:style w:type="character" w:styleId="1476" w:customStyle="1">
    <w:name w:val="标题 2 Char1"/>
    <w:uiPriority w:val="0"/>
    <w:qFormat/>
    <w:rPr>
      <w:b/>
      <w:bCs/>
      <w:sz w:val="30"/>
      <w:szCs w:val="32"/>
    </w:rPr>
  </w:style>
  <w:style w:type="character" w:styleId="1477" w:customStyle="1">
    <w:name w:val="!RepPar_alt+p Char"/>
    <w:link w:val="1478"/>
    <w:uiPriority w:val="0"/>
    <w:qFormat/>
    <w:rPr>
      <w:sz w:val="24"/>
      <w:szCs w:val="24"/>
      <w:lang w:val="zh-CN"/>
    </w:rPr>
  </w:style>
  <w:style w:type="paragraph" w:styleId="1478" w:customStyle="1">
    <w:name w:val="!RepPar_alt+p"/>
    <w:basedOn w:val="753"/>
    <w:link w:val="1477"/>
    <w:uiPriority w:val="0"/>
    <w:qFormat/>
    <w:pPr>
      <w:ind w:firstLine="200"/>
      <w:spacing w:line="360" w:lineRule="auto"/>
    </w:pPr>
    <w:rPr>
      <w:sz w:val="24"/>
      <w:lang w:val="zh-CN" w:eastAsia="en-US"/>
    </w:rPr>
  </w:style>
  <w:style w:type="character" w:styleId="1479" w:customStyle="1">
    <w:name w:val="bz-content1"/>
    <w:uiPriority w:val="0"/>
    <w:qFormat/>
    <w:rPr>
      <w:sz w:val="20"/>
      <w:szCs w:val="20"/>
      <w:u w:val="none"/>
    </w:rPr>
  </w:style>
  <w:style w:type="character" w:styleId="1480" w:customStyle="1">
    <w:name w:val="highlight1"/>
    <w:uiPriority w:val="0"/>
    <w:qFormat/>
    <w:rPr>
      <w:shd w:val="clear" w:color="auto" w:fill="ffff00"/>
    </w:rPr>
  </w:style>
  <w:style w:type="character" w:styleId="1481" w:customStyle="1">
    <w:name w:val="Char Char3"/>
    <w:uiPriority w:val="0"/>
    <w:qFormat/>
    <w:rPr>
      <w:rFonts w:eastAsia="宋体"/>
      <w:sz w:val="21"/>
      <w:szCs w:val="24"/>
      <w:lang w:val="en-US" w:eastAsia="zh-CN" w:bidi="ar-SA"/>
    </w:rPr>
  </w:style>
  <w:style w:type="character" w:styleId="1482" w:customStyle="1">
    <w:name w:val="highlight"/>
    <w:uiPriority w:val="0"/>
    <w:qFormat/>
  </w:style>
  <w:style w:type="character" w:styleId="1483" w:customStyle="1">
    <w:name w:val="style12"/>
    <w:uiPriority w:val="0"/>
    <w:qFormat/>
  </w:style>
  <w:style w:type="character" w:styleId="1484" w:customStyle="1">
    <w:name w:val="样式1 Char"/>
    <w:link w:val="1485"/>
    <w:uiPriority w:val="0"/>
    <w:qFormat/>
    <w:rPr>
      <w:sz w:val="24"/>
      <w:szCs w:val="24"/>
    </w:rPr>
  </w:style>
  <w:style w:type="paragraph" w:styleId="1485" w:customStyle="1">
    <w:name w:val="样式1"/>
    <w:basedOn w:val="753"/>
    <w:link w:val="1484"/>
    <w:uiPriority w:val="0"/>
    <w:qFormat/>
    <w:pPr>
      <w:ind w:firstLine="480"/>
      <w:spacing w:line="300" w:lineRule="auto"/>
    </w:pPr>
    <w:rPr>
      <w:sz w:val="24"/>
      <w:lang w:eastAsia="en-US"/>
    </w:rPr>
  </w:style>
  <w:style w:type="character" w:styleId="1486" w:customStyle="1">
    <w:name w:val="font201"/>
    <w:uiPriority w:val="0"/>
    <w:qFormat/>
    <w:rPr>
      <w:spacing w:val="300"/>
    </w:rPr>
  </w:style>
  <w:style w:type="character" w:styleId="1487" w:customStyle="1">
    <w:name w:val="明显强调1"/>
    <w:uiPriority w:val="0"/>
    <w:qFormat/>
    <w:rPr>
      <w:i/>
      <w:iCs/>
      <w:color w:val="5b9bd5"/>
    </w:rPr>
  </w:style>
  <w:style w:type="character" w:styleId="1488" w:customStyle="1">
    <w:name w:val="lawsitemtext1"/>
    <w:uiPriority w:val="0"/>
    <w:qFormat/>
    <w:rPr>
      <w:color w:val="696969"/>
      <w:spacing w:val="280"/>
      <w:sz w:val="21"/>
      <w:szCs w:val="21"/>
    </w:rPr>
  </w:style>
  <w:style w:type="character" w:styleId="1489" w:customStyle="1">
    <w:name w:val="文字 Char Char"/>
    <w:link w:val="1490"/>
    <w:uiPriority w:val="0"/>
    <w:qFormat/>
    <w:rPr>
      <w:rFonts w:ascii="楷体_GB2312" w:eastAsia="楷体_GB2312"/>
      <w:sz w:val="28"/>
    </w:rPr>
  </w:style>
  <w:style w:type="paragraph" w:styleId="1490" w:customStyle="1">
    <w:name w:val="文字"/>
    <w:basedOn w:val="753"/>
    <w:link w:val="1489"/>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91" w:customStyle="1">
    <w:name w:val="l151"/>
    <w:uiPriority w:val="0"/>
    <w:qFormat/>
  </w:style>
  <w:style w:type="character" w:styleId="1492" w:customStyle="1">
    <w:name w:val="Char Char31"/>
    <w:uiPriority w:val="0"/>
    <w:qFormat/>
    <w:rPr>
      <w:rFonts w:eastAsia="宋体"/>
      <w:sz w:val="21"/>
      <w:szCs w:val="24"/>
      <w:lang w:val="en-US" w:eastAsia="zh-CN" w:bidi="ar-SA"/>
    </w:rPr>
  </w:style>
  <w:style w:type="character" w:styleId="1493" w:customStyle="1">
    <w:name w:val="EmailStyle891"/>
    <w:uiPriority w:val="0"/>
    <w:qFormat/>
    <w:rPr>
      <w:rFonts w:ascii="Arial" w:hAnsi="Arial" w:eastAsia="宋体" w:cs="Arial"/>
      <w:color w:val="000000"/>
      <w:sz w:val="20"/>
    </w:rPr>
  </w:style>
  <w:style w:type="character" w:styleId="1494" w:customStyle="1">
    <w:name w:val="一级条标题 Char"/>
    <w:uiPriority w:val="0"/>
    <w:qFormat/>
    <w:rPr>
      <w:rFonts w:ascii="黑体" w:hAnsi="Times New Roman" w:eastAsia="黑体" w:cs="Times New Roman"/>
      <w:szCs w:val="20"/>
    </w:rPr>
  </w:style>
  <w:style w:type="character" w:styleId="1495" w:customStyle="1">
    <w:name w:val="EmailStyle901"/>
    <w:uiPriority w:val="0"/>
    <w:qFormat/>
    <w:rPr>
      <w:rFonts w:ascii="Arial" w:hAnsi="Arial" w:eastAsia="宋体" w:cs="Arial"/>
      <w:color w:val="000000"/>
      <w:sz w:val="20"/>
    </w:rPr>
  </w:style>
  <w:style w:type="character" w:styleId="1496" w:customStyle="1">
    <w:name w:val="small1"/>
    <w:uiPriority w:val="0"/>
    <w:qFormat/>
    <w:rPr>
      <w:rFonts w:ascii="Verdana" w:hAnsi="Verdana"/>
      <w:sz w:val="18"/>
      <w:szCs w:val="18"/>
    </w:rPr>
  </w:style>
  <w:style w:type="character" w:styleId="1497" w:customStyle="1">
    <w:name w:val="二级条标题 Char"/>
    <w:uiPriority w:val="0"/>
    <w:qFormat/>
    <w:rPr>
      <w:rFonts w:ascii="黑体" w:hAnsi="Times New Roman" w:eastAsia="黑体" w:cs="Times New Roman"/>
      <w:szCs w:val="20"/>
    </w:rPr>
  </w:style>
  <w:style w:type="character" w:styleId="1498" w:customStyle="1">
    <w:name w:val="fnt1"/>
    <w:uiPriority w:val="0"/>
    <w:qFormat/>
    <w:rPr>
      <w:rFonts w:ascii="Verdana" w:hAnsi="Verdana"/>
      <w:color w:val="666666"/>
      <w:sz w:val="18"/>
      <w:szCs w:val="18"/>
    </w:rPr>
  </w:style>
  <w:style w:type="character" w:styleId="1499" w:customStyle="1">
    <w:name w:val="三级条标题 Char"/>
    <w:link w:val="1500"/>
    <w:uiPriority w:val="0"/>
    <w:qFormat/>
    <w:rPr>
      <w:rFonts w:ascii="黑体" w:eastAsia="黑体"/>
    </w:rPr>
  </w:style>
  <w:style w:type="paragraph" w:styleId="1500" w:customStyle="1">
    <w:name w:val="三级条标题"/>
    <w:basedOn w:val="1176"/>
    <w:next w:val="809"/>
    <w:link w:val="1499"/>
    <w:uiPriority w:val="0"/>
    <w:qFormat/>
    <w:pPr>
      <w:ind w:left="780" w:hanging="360"/>
      <w:tabs>
        <w:tab w:val="left" w:pos="1440" w:leader="none"/>
      </w:tabs>
      <w:outlineLvl w:val="4"/>
    </w:pPr>
  </w:style>
  <w:style w:type="character" w:styleId="1501" w:customStyle="1">
    <w:name w:val="paragraph1 Char"/>
    <w:link w:val="1502"/>
    <w:uiPriority w:val="0"/>
    <w:qFormat/>
    <w:rPr>
      <w:rFonts w:ascii="仿宋_GB2312" w:eastAsia="仿宋_GB2312"/>
      <w:sz w:val="28"/>
      <w:szCs w:val="24"/>
    </w:rPr>
  </w:style>
  <w:style w:type="paragraph" w:styleId="1502" w:customStyle="1">
    <w:name w:val="paragraph1"/>
    <w:basedOn w:val="753"/>
    <w:link w:val="1501"/>
    <w:uiPriority w:val="0"/>
    <w:qFormat/>
    <w:pPr>
      <w:ind w:firstLine="200"/>
      <w:spacing w:line="360" w:lineRule="auto"/>
    </w:pPr>
    <w:rPr>
      <w:rFonts w:ascii="仿宋_GB2312" w:eastAsia="仿宋_GB2312"/>
      <w:sz w:val="28"/>
      <w:lang w:eastAsia="en-US"/>
    </w:rPr>
  </w:style>
  <w:style w:type="character" w:styleId="1503" w:customStyle="1">
    <w:name w:val="注： Char"/>
    <w:link w:val="1504"/>
    <w:uiPriority w:val="0"/>
    <w:qFormat/>
    <w:rPr>
      <w:rFonts w:ascii="宋体" w:hAnsi="等线" w:eastAsia="Arial" w:cs="Arial"/>
      <w:sz w:val="18"/>
      <w:szCs w:val="22"/>
      <w:lang w:val="en-US" w:eastAsia="zh-CN" w:bidi="ar-SA"/>
    </w:rPr>
  </w:style>
  <w:style w:type="paragraph" w:styleId="1504" w:customStyle="1">
    <w:name w:val="注："/>
    <w:next w:val="809"/>
    <w:link w:val="1503"/>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05" w:customStyle="1">
    <w:name w:val="EmailStyle1271"/>
    <w:uiPriority w:val="0"/>
    <w:qFormat/>
    <w:rPr>
      <w:rFonts w:ascii="Arial" w:hAnsi="Arial" w:eastAsia="宋体" w:cs="Arial"/>
      <w:color w:val="000000"/>
      <w:sz w:val="20"/>
    </w:rPr>
  </w:style>
  <w:style w:type="character" w:styleId="1506" w:customStyle="1">
    <w:name w:val="WW-Absatz-Standardschriftart1111"/>
    <w:uiPriority w:val="0"/>
    <w:qFormat/>
  </w:style>
  <w:style w:type="character" w:styleId="1507" w:customStyle="1">
    <w:name w:val="EmailStyle1281"/>
    <w:uiPriority w:val="0"/>
    <w:qFormat/>
    <w:rPr>
      <w:rFonts w:ascii="Arial" w:hAnsi="Arial" w:eastAsia="宋体" w:cs="Arial"/>
      <w:color w:val="000000"/>
      <w:sz w:val="20"/>
    </w:rPr>
  </w:style>
  <w:style w:type="character" w:styleId="1508" w:customStyle="1">
    <w:name w:val="WW8Num1z7"/>
    <w:uiPriority w:val="0"/>
    <w:qFormat/>
    <w:rPr>
      <w:rFonts w:ascii="Wingdings" w:hAnsi="Wingdings"/>
    </w:rPr>
  </w:style>
  <w:style w:type="character" w:styleId="1509" w:customStyle="1">
    <w:name w:val="EmailStyle170"/>
    <w:uiPriority w:val="0"/>
    <w:qFormat/>
    <w:rPr>
      <w:rFonts w:ascii="Arial" w:hAnsi="Arial" w:eastAsia="宋体" w:cs="Arial"/>
      <w:color w:val="000000"/>
      <w:sz w:val="20"/>
    </w:rPr>
  </w:style>
  <w:style w:type="character" w:styleId="1510" w:customStyle="1">
    <w:name w:val="WW8Num19z2"/>
    <w:uiPriority w:val="0"/>
    <w:qFormat/>
    <w:rPr>
      <w:rFonts w:ascii="StarSymbol" w:hAnsi="StarSymbol" w:cs="StarSymbol"/>
      <w:sz w:val="18"/>
      <w:szCs w:val="18"/>
    </w:rPr>
  </w:style>
  <w:style w:type="character" w:styleId="1511" w:customStyle="1">
    <w:name w:val="EmailStyle171"/>
    <w:uiPriority w:val="0"/>
    <w:qFormat/>
    <w:rPr>
      <w:rFonts w:ascii="Arial" w:hAnsi="Arial" w:eastAsia="宋体" w:cs="Arial"/>
      <w:color w:val="000000"/>
      <w:sz w:val="20"/>
    </w:rPr>
  </w:style>
  <w:style w:type="character" w:styleId="1512" w:customStyle="1">
    <w:name w:val="WW8Num7z0"/>
    <w:uiPriority w:val="0"/>
    <w:qFormat/>
    <w:rPr>
      <w:rFonts w:ascii="Wingdings" w:hAnsi="Wingdings"/>
    </w:rPr>
  </w:style>
  <w:style w:type="character" w:styleId="1513" w:customStyle="1">
    <w:name w:val="Char Char311"/>
    <w:uiPriority w:val="0"/>
    <w:qFormat/>
    <w:rPr>
      <w:rFonts w:eastAsia="宋体"/>
      <w:sz w:val="21"/>
      <w:szCs w:val="24"/>
      <w:lang w:val="en-US" w:eastAsia="zh-CN" w:bidi="ar-SA"/>
    </w:rPr>
  </w:style>
  <w:style w:type="character" w:styleId="1514" w:customStyle="1">
    <w:name w:val="WW8Num25z1"/>
    <w:uiPriority w:val="0"/>
    <w:qFormat/>
    <w:rPr>
      <w:rFonts w:ascii="Wingdings 2" w:hAnsi="Wingdings 2" w:cs="StarSymbol"/>
      <w:sz w:val="18"/>
      <w:szCs w:val="18"/>
    </w:rPr>
  </w:style>
  <w:style w:type="character" w:styleId="1515" w:customStyle="1">
    <w:name w:val="EmailStyle200"/>
    <w:uiPriority w:val="0"/>
    <w:qFormat/>
    <w:rPr>
      <w:rFonts w:ascii="Arial" w:hAnsi="Arial" w:eastAsia="宋体" w:cs="Arial"/>
      <w:color w:val="000000"/>
      <w:sz w:val="20"/>
    </w:rPr>
  </w:style>
  <w:style w:type="character" w:styleId="1516" w:customStyle="1">
    <w:name w:val="WW8Num11z0"/>
    <w:uiPriority w:val="0"/>
    <w:qFormat/>
    <w:rPr>
      <w:rFonts w:ascii="Wingdings" w:hAnsi="Wingdings" w:cs="StarSymbol"/>
      <w:sz w:val="18"/>
      <w:szCs w:val="18"/>
    </w:rPr>
  </w:style>
  <w:style w:type="character" w:styleId="1517" w:customStyle="1">
    <w:name w:val="EmailStyle201"/>
    <w:uiPriority w:val="0"/>
    <w:qFormat/>
    <w:rPr>
      <w:rFonts w:ascii="Arial" w:hAnsi="Arial" w:eastAsia="宋体" w:cs="Arial"/>
      <w:color w:val="000000"/>
      <w:sz w:val="20"/>
    </w:rPr>
  </w:style>
  <w:style w:type="character" w:styleId="1518" w:customStyle="1">
    <w:name w:val="个人撰写风格"/>
    <w:uiPriority w:val="0"/>
    <w:qFormat/>
    <w:rPr>
      <w:rFonts w:ascii="Arial" w:hAnsi="Arial" w:eastAsia="宋体" w:cs="Arial"/>
      <w:color w:val="000000"/>
      <w:sz w:val="20"/>
    </w:rPr>
  </w:style>
  <w:style w:type="character" w:styleId="1519" w:customStyle="1">
    <w:name w:val="zn2 Char"/>
    <w:link w:val="1520"/>
    <w:uiPriority w:val="0"/>
    <w:qFormat/>
    <w:rPr>
      <w:rFonts w:ascii="华文楷体" w:hAnsi="Cambria" w:eastAsia="仿宋_GB2312"/>
      <w:b/>
      <w:bCs/>
      <w:sz w:val="32"/>
      <w:szCs w:val="32"/>
    </w:rPr>
  </w:style>
  <w:style w:type="paragraph" w:styleId="1520" w:customStyle="1">
    <w:name w:val="zn2"/>
    <w:basedOn w:val="755"/>
    <w:link w:val="151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21" w:customStyle="1">
    <w:name w:val="引用 字符1"/>
    <w:uiPriority w:val="99"/>
    <w:qFormat/>
    <w:rPr>
      <w:rFonts w:ascii="Times New Roman" w:hAnsi="Times New Roman" w:eastAsia="宋体" w:cs="Times New Roman"/>
      <w:i/>
      <w:iCs/>
      <w:color w:val="404040"/>
      <w:szCs w:val="24"/>
    </w:rPr>
  </w:style>
  <w:style w:type="character" w:styleId="1522" w:customStyle="1">
    <w:name w:val="zn3 Char"/>
    <w:link w:val="1523"/>
    <w:uiPriority w:val="0"/>
    <w:qFormat/>
    <w:rPr>
      <w:rFonts w:ascii="仿宋_GB2312" w:hAnsi="仿宋_GB2312" w:eastAsia="仿宋_GB2312"/>
      <w:b/>
      <w:bCs/>
      <w:sz w:val="32"/>
      <w:szCs w:val="32"/>
    </w:rPr>
  </w:style>
  <w:style w:type="paragraph" w:styleId="1523" w:customStyle="1">
    <w:name w:val="zn3"/>
    <w:basedOn w:val="756"/>
    <w:next w:val="753"/>
    <w:link w:val="152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24" w:customStyle="1">
    <w:name w:val="明显引用 字符"/>
    <w:link w:val="1525"/>
    <w:uiPriority w:val="0"/>
    <w:qFormat/>
    <w:rPr>
      <w:b/>
      <w:bCs/>
      <w:i/>
      <w:iCs/>
      <w:color w:val="4f81bd"/>
      <w:sz w:val="22"/>
      <w:lang w:eastAsia="en-US" w:bidi="en-US"/>
    </w:rPr>
  </w:style>
  <w:style w:type="paragraph" w:styleId="1525" w:customStyle="1">
    <w:name w:val="明显引用11"/>
    <w:basedOn w:val="753"/>
    <w:next w:val="753"/>
    <w:link w:val="1524"/>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26" w:customStyle="1">
    <w:name w:val="标题 5 Char1"/>
    <w:uiPriority w:val="0"/>
    <w:qFormat/>
    <w:rPr>
      <w:b/>
      <w:bCs/>
      <w:sz w:val="28"/>
      <w:szCs w:val="28"/>
    </w:rPr>
  </w:style>
  <w:style w:type="character" w:styleId="1527" w:customStyle="1">
    <w:name w:val="明显引用 字符1"/>
    <w:uiPriority w:val="99"/>
    <w:qFormat/>
    <w:rPr>
      <w:rFonts w:ascii="Times New Roman" w:hAnsi="Times New Roman" w:eastAsia="宋体" w:cs="Times New Roman"/>
      <w:i/>
      <w:iCs/>
      <w:color w:val="4f81bd"/>
      <w:szCs w:val="24"/>
    </w:rPr>
  </w:style>
  <w:style w:type="character" w:styleId="1528" w:customStyle="1">
    <w:name w:val="标题 6 Char1"/>
    <w:uiPriority w:val="0"/>
    <w:qFormat/>
    <w:rPr>
      <w:rFonts w:ascii="Calibri Light" w:hAnsi="Calibri Light" w:eastAsia="宋体" w:cs="Times New Roman"/>
      <w:b/>
      <w:bCs/>
      <w:sz w:val="24"/>
      <w:szCs w:val="24"/>
    </w:rPr>
  </w:style>
  <w:style w:type="character" w:styleId="1529" w:customStyle="1">
    <w:name w:val="明显引用 Char1"/>
    <w:uiPriority w:val="30"/>
    <w:qFormat/>
    <w:rPr>
      <w:i/>
      <w:iCs/>
      <w:color w:val="5b9bd5"/>
      <w:sz w:val="24"/>
    </w:rPr>
  </w:style>
  <w:style w:type="character" w:styleId="1530" w:customStyle="1">
    <w:name w:val="标题 7 Char1"/>
    <w:uiPriority w:val="0"/>
    <w:qFormat/>
    <w:rPr>
      <w:b/>
      <w:bCs/>
      <w:sz w:val="24"/>
      <w:szCs w:val="24"/>
    </w:rPr>
  </w:style>
  <w:style w:type="character" w:styleId="1531" w:customStyle="1">
    <w:name w:val="引用 字符"/>
    <w:link w:val="1532"/>
    <w:uiPriority w:val="0"/>
    <w:qFormat/>
    <w:rPr>
      <w:i/>
      <w:iCs/>
      <w:color w:val="000000"/>
      <w:sz w:val="22"/>
      <w:lang w:eastAsia="en-US" w:bidi="en-US"/>
    </w:rPr>
  </w:style>
  <w:style w:type="paragraph" w:styleId="1532" w:customStyle="1">
    <w:name w:val="引用11"/>
    <w:basedOn w:val="753"/>
    <w:next w:val="753"/>
    <w:link w:val="1531"/>
    <w:uiPriority w:val="0"/>
    <w:qFormat/>
    <w:pPr>
      <w:jc w:val="left"/>
      <w:spacing w:after="200" w:line="276" w:lineRule="auto"/>
      <w:widowControl/>
    </w:pPr>
    <w:rPr>
      <w:i/>
      <w:iCs/>
      <w:color w:val="000000"/>
      <w:sz w:val="22"/>
      <w:szCs w:val="20"/>
      <w:lang w:eastAsia="en-US" w:bidi="en-US"/>
    </w:rPr>
  </w:style>
  <w:style w:type="character" w:styleId="1533" w:customStyle="1">
    <w:name w:val="标题 8 Char1"/>
    <w:uiPriority w:val="0"/>
    <w:qFormat/>
    <w:rPr>
      <w:rFonts w:ascii="Calibri Light" w:hAnsi="Calibri Light" w:eastAsia="宋体" w:cs="Times New Roman"/>
      <w:sz w:val="24"/>
      <w:szCs w:val="24"/>
    </w:rPr>
  </w:style>
  <w:style w:type="character" w:styleId="1534" w:customStyle="1">
    <w:name w:val="不明显参考1"/>
    <w:uiPriority w:val="0"/>
    <w:qFormat/>
    <w:rPr>
      <w:smallCaps/>
      <w:color w:val="c0504d"/>
      <w:u w:val="single"/>
    </w:rPr>
  </w:style>
  <w:style w:type="character" w:styleId="1535" w:customStyle="1">
    <w:name w:val="标题 9 Char1"/>
    <w:uiPriority w:val="0"/>
    <w:qFormat/>
    <w:rPr>
      <w:rFonts w:ascii="Calibri Light" w:hAnsi="Calibri Light" w:eastAsia="宋体" w:cs="Times New Roman"/>
      <w:sz w:val="21"/>
      <w:szCs w:val="21"/>
    </w:rPr>
  </w:style>
  <w:style w:type="character" w:styleId="1536" w:customStyle="1">
    <w:name w:val="明显参考1"/>
    <w:uiPriority w:val="0"/>
    <w:qFormat/>
    <w:rPr>
      <w:b/>
      <w:bCs/>
      <w:smallCaps/>
      <w:color w:val="c0504d"/>
      <w:spacing w:val="5"/>
      <w:u w:val="single"/>
    </w:rPr>
  </w:style>
  <w:style w:type="character" w:styleId="1537" w:customStyle="1">
    <w:name w:val="脚注文本 Char1"/>
    <w:uiPriority w:val="0"/>
    <w:semiHidden/>
    <w:qFormat/>
    <w:rPr>
      <w:sz w:val="18"/>
      <w:szCs w:val="18"/>
    </w:rPr>
  </w:style>
  <w:style w:type="character" w:styleId="1538" w:customStyle="1">
    <w:name w:val="tpc_content1"/>
    <w:uiPriority w:val="0"/>
    <w:qFormat/>
    <w:rPr>
      <w:sz w:val="19"/>
      <w:szCs w:val="19"/>
    </w:rPr>
  </w:style>
  <w:style w:type="character" w:styleId="1539" w:customStyle="1">
    <w:name w:val="日期 Char1"/>
    <w:uiPriority w:val="0"/>
    <w:qFormat/>
    <w:rPr>
      <w:sz w:val="21"/>
      <w:szCs w:val="24"/>
    </w:rPr>
  </w:style>
  <w:style w:type="character" w:styleId="1540" w:customStyle="1">
    <w:name w:val="书籍标题1"/>
    <w:uiPriority w:val="0"/>
    <w:qFormat/>
    <w:rPr>
      <w:b/>
      <w:bCs/>
      <w:smallCaps/>
      <w:spacing w:val="5"/>
    </w:rPr>
  </w:style>
  <w:style w:type="character" w:styleId="1541" w:customStyle="1">
    <w:name w:val="正文文本 2 Char1"/>
    <w:uiPriority w:val="99"/>
    <w:qFormat/>
    <w:rPr>
      <w:sz w:val="21"/>
      <w:szCs w:val="24"/>
    </w:rPr>
  </w:style>
  <w:style w:type="character" w:styleId="1542" w:customStyle="1">
    <w:name w:val="short_text1"/>
    <w:uiPriority w:val="0"/>
    <w:qFormat/>
    <w:rPr>
      <w:sz w:val="26"/>
      <w:szCs w:val="26"/>
    </w:rPr>
  </w:style>
  <w:style w:type="character" w:styleId="1543" w:customStyle="1">
    <w:name w:val="正文文本 3 Char1"/>
    <w:uiPriority w:val="0"/>
    <w:qFormat/>
    <w:rPr>
      <w:sz w:val="16"/>
      <w:szCs w:val="16"/>
    </w:rPr>
  </w:style>
  <w:style w:type="character" w:styleId="1544" w:customStyle="1">
    <w:name w:val="ABC标题下的小点 Char"/>
    <w:link w:val="1545"/>
    <w:uiPriority w:val="0"/>
    <w:qFormat/>
    <w:rPr>
      <w:rFonts w:ascii="宋体" w:hAnsi="宋体"/>
    </w:rPr>
  </w:style>
  <w:style w:type="paragraph" w:styleId="1545" w:customStyle="1">
    <w:name w:val="ABC标题下的小点"/>
    <w:basedOn w:val="753"/>
    <w:link w:val="1544"/>
    <w:uiPriority w:val="0"/>
    <w:qFormat/>
    <w:pPr>
      <w:ind w:left="1190" w:hanging="567"/>
      <w:spacing w:line="360" w:lineRule="auto"/>
      <w:tabs>
        <w:tab w:val="left" w:pos="1260" w:leader="none"/>
      </w:tabs>
    </w:pPr>
    <w:rPr>
      <w:rFonts w:ascii="宋体" w:hAnsi="宋体"/>
      <w:sz w:val="20"/>
      <w:szCs w:val="20"/>
      <w:lang w:eastAsia="en-US"/>
    </w:rPr>
  </w:style>
  <w:style w:type="character" w:styleId="1546" w:customStyle="1">
    <w:name w:val="标题 Char1"/>
    <w:uiPriority w:val="0"/>
    <w:qFormat/>
    <w:rPr>
      <w:rFonts w:ascii="Calibri Light" w:hAnsi="Calibri Light" w:cs="Times New Roman"/>
      <w:b/>
      <w:bCs/>
      <w:sz w:val="32"/>
      <w:szCs w:val="32"/>
    </w:rPr>
  </w:style>
  <w:style w:type="character" w:styleId="1547" w:customStyle="1">
    <w:name w:val="style21"/>
    <w:uiPriority w:val="0"/>
    <w:qFormat/>
    <w:rPr>
      <w:color w:val="000080"/>
    </w:rPr>
  </w:style>
  <w:style w:type="character" w:styleId="1548" w:customStyle="1">
    <w:name w:val="注释标题 Char1"/>
    <w:uiPriority w:val="0"/>
    <w:qFormat/>
    <w:rPr>
      <w:sz w:val="21"/>
      <w:szCs w:val="24"/>
    </w:rPr>
  </w:style>
  <w:style w:type="character" w:styleId="1549" w:customStyle="1">
    <w:name w:val="ns1"/>
    <w:uiPriority w:val="0"/>
    <w:qFormat/>
    <w:rPr>
      <w:color w:val="ff0000"/>
    </w:rPr>
  </w:style>
  <w:style w:type="character" w:styleId="1550" w:customStyle="1">
    <w:name w:val="zn1 Char"/>
    <w:link w:val="1551"/>
    <w:uiPriority w:val="0"/>
    <w:qFormat/>
    <w:rPr>
      <w:rFonts w:ascii="黑体" w:hAnsi="仿宋_GB2312" w:eastAsia="黑体"/>
      <w:bCs/>
      <w:sz w:val="36"/>
      <w:szCs w:val="32"/>
      <w:lang w:val="zh-CN"/>
    </w:rPr>
  </w:style>
  <w:style w:type="paragraph" w:styleId="1551" w:customStyle="1">
    <w:name w:val="zn1"/>
    <w:basedOn w:val="754"/>
    <w:link w:val="1550"/>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52" w:customStyle="1">
    <w:name w:val="hilite2"/>
    <w:uiPriority w:val="0"/>
    <w:qFormat/>
  </w:style>
  <w:style w:type="character" w:styleId="1553" w:customStyle="1">
    <w:name w:val="WC三级 Char"/>
    <w:link w:val="1554"/>
    <w:uiPriority w:val="0"/>
    <w:qFormat/>
    <w:rPr>
      <w:b/>
      <w:sz w:val="32"/>
      <w:lang w:val="zh-CN"/>
    </w:rPr>
  </w:style>
  <w:style w:type="paragraph" w:styleId="1554" w:customStyle="1">
    <w:name w:val="WC三级"/>
    <w:basedOn w:val="756"/>
    <w:link w:val="1553"/>
    <w:uiPriority w:val="0"/>
    <w:qFormat/>
    <w:pPr>
      <w:ind w:left="1069" w:hanging="709"/>
      <w:spacing w:before="0" w:after="0" w:line="240" w:lineRule="auto"/>
      <w:tabs>
        <w:tab w:val="left" w:pos="0" w:leader="none"/>
        <w:tab w:val="left" w:pos="1069" w:leader="none"/>
      </w:tabs>
    </w:pPr>
    <w:rPr>
      <w:lang w:val="zh-CN"/>
    </w:rPr>
  </w:style>
  <w:style w:type="character" w:styleId="1555" w:customStyle="1">
    <w:name w:val="个人答复风格"/>
    <w:uiPriority w:val="0"/>
    <w:qFormat/>
    <w:rPr>
      <w:rFonts w:ascii="Arial" w:hAnsi="Arial" w:eastAsia="宋体" w:cs="Arial"/>
      <w:color w:val="000000"/>
      <w:sz w:val="20"/>
    </w:rPr>
  </w:style>
  <w:style w:type="character" w:styleId="1556" w:customStyle="1">
    <w:name w:val="WC二级 Char"/>
    <w:link w:val="1557"/>
    <w:uiPriority w:val="0"/>
    <w:qFormat/>
    <w:rPr>
      <w:rFonts w:ascii="Arial" w:hAnsi="Arial" w:eastAsia="黑体"/>
      <w:b/>
      <w:sz w:val="32"/>
      <w:lang w:val="zh-CN"/>
    </w:rPr>
  </w:style>
  <w:style w:type="paragraph" w:styleId="1557" w:customStyle="1">
    <w:name w:val="WC二级"/>
    <w:basedOn w:val="755"/>
    <w:link w:val="1556"/>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58" w:customStyle="1">
    <w:name w:val="b1"/>
    <w:uiPriority w:val="0"/>
    <w:qFormat/>
    <w:rPr>
      <w:rFonts w:ascii="Courier New" w:hAnsi="Courier New" w:cs="Courier New"/>
      <w:b/>
      <w:bCs/>
      <w:color w:val="ff0000"/>
      <w:u w:val="none"/>
    </w:rPr>
  </w:style>
  <w:style w:type="character" w:styleId="1559" w:customStyle="1">
    <w:name w:val="样式sjw Char"/>
    <w:link w:val="1560"/>
    <w:uiPriority w:val="0"/>
    <w:qFormat/>
    <w:rPr>
      <w:rFonts w:ascii="宋体" w:hAnsi="宋体"/>
      <w:caps/>
      <w:color w:val="000000"/>
      <w:sz w:val="18"/>
      <w:szCs w:val="18"/>
      <w:shd w:val="pct10" w:color="auto" w:fill="auto"/>
      <w:lang w:val="zh-CN"/>
    </w:rPr>
  </w:style>
  <w:style w:type="paragraph" w:styleId="1560" w:customStyle="1">
    <w:name w:val="样式sjw"/>
    <w:basedOn w:val="753"/>
    <w:link w:val="1559"/>
    <w:uiPriority w:val="0"/>
    <w:qFormat/>
    <w:pPr>
      <w:jc w:val="left"/>
      <w:shd w:val="pct10" w:color="auto" w:fill="auto"/>
      <w:widowControl/>
    </w:pPr>
    <w:rPr>
      <w:rFonts w:ascii="宋体" w:hAnsi="宋体"/>
      <w:caps/>
      <w:color w:val="000000"/>
      <w:sz w:val="18"/>
      <w:szCs w:val="18"/>
      <w:lang w:val="zh-CN" w:eastAsia="en-US"/>
    </w:rPr>
  </w:style>
  <w:style w:type="character" w:styleId="1561" w:customStyle="1">
    <w:name w:val="myp1111"/>
    <w:uiPriority w:val="0"/>
    <w:qFormat/>
    <w:rPr>
      <w:rFonts w:ascii="ˎ̥" w:hAnsi="ˎ̥"/>
      <w:color w:val="000000"/>
      <w:sz w:val="20"/>
      <w:szCs w:val="20"/>
      <w:u w:val="none"/>
    </w:rPr>
  </w:style>
  <w:style w:type="character" w:styleId="1562" w:customStyle="1">
    <w:name w:val="faqa1"/>
    <w:uiPriority w:val="0"/>
    <w:qFormat/>
    <w:rPr>
      <w:rFonts w:hint="eastAsia" w:ascii="微软雅黑" w:hAnsi="微软雅黑" w:eastAsia="微软雅黑"/>
      <w:b/>
      <w:bCs/>
      <w:sz w:val="27"/>
      <w:szCs w:val="27"/>
    </w:rPr>
  </w:style>
  <w:style w:type="character" w:styleId="1563" w:customStyle="1">
    <w:name w:val="表头文字(同正文大小) Char"/>
    <w:link w:val="1564"/>
    <w:uiPriority w:val="0"/>
    <w:qFormat/>
    <w:rPr>
      <w:rFonts w:eastAsia="黑体"/>
      <w:lang w:eastAsia="en-US"/>
    </w:rPr>
  </w:style>
  <w:style w:type="paragraph" w:styleId="1564" w:customStyle="1">
    <w:name w:val="表头文字(同正文大小)"/>
    <w:basedOn w:val="753"/>
    <w:link w:val="1563"/>
    <w:uiPriority w:val="0"/>
    <w:qFormat/>
    <w:pPr>
      <w:jc w:val="center"/>
      <w:spacing w:line="264" w:lineRule="auto"/>
    </w:pPr>
    <w:rPr>
      <w:rFonts w:eastAsia="黑体"/>
      <w:sz w:val="20"/>
      <w:szCs w:val="20"/>
      <w:lang w:eastAsia="en-US"/>
    </w:rPr>
  </w:style>
  <w:style w:type="character" w:styleId="1565" w:customStyle="1">
    <w:name w:val="faqq1"/>
    <w:uiPriority w:val="0"/>
    <w:qFormat/>
    <w:rPr>
      <w:rFonts w:hint="eastAsia" w:ascii="微软雅黑" w:hAnsi="微软雅黑" w:eastAsia="微软雅黑"/>
      <w:sz w:val="24"/>
      <w:szCs w:val="24"/>
    </w:rPr>
  </w:style>
  <w:style w:type="character" w:styleId="1566" w:customStyle="1">
    <w:name w:val="表格 Char"/>
    <w:uiPriority w:val="0"/>
    <w:qFormat/>
    <w:rPr>
      <w:rFonts w:ascii="Times New Roman" w:hAnsi="Times New Roman" w:eastAsia="宋体" w:cs="Times New Roman"/>
      <w:sz w:val="24"/>
      <w:szCs w:val="24"/>
    </w:rPr>
  </w:style>
  <w:style w:type="character" w:styleId="1567" w:customStyle="1">
    <w:name w:val="题注 Char1"/>
    <w:uiPriority w:val="0"/>
    <w:qFormat/>
    <w:rPr>
      <w:rFonts w:ascii="Arial" w:hAnsi="Arial" w:eastAsia="黑体" w:cs="Arial"/>
      <w:sz w:val="20"/>
      <w:szCs w:val="20"/>
    </w:rPr>
  </w:style>
  <w:style w:type="character" w:styleId="1568" w:customStyle="1">
    <w:name w:val="未处理的提及1"/>
    <w:uiPriority w:val="99"/>
    <w:unhideWhenUsed/>
    <w:qFormat/>
    <w:rPr>
      <w:color w:val="605e5c"/>
      <w:shd w:val="clear" w:color="auto" w:fill="e1dfdd"/>
    </w:rPr>
  </w:style>
  <w:style w:type="character" w:styleId="1569" w:customStyle="1">
    <w:name w:val="Char Char32"/>
    <w:uiPriority w:val="0"/>
    <w:qFormat/>
    <w:rPr>
      <w:rFonts w:eastAsia="宋体"/>
      <w:sz w:val="21"/>
      <w:szCs w:val="24"/>
      <w:lang w:val="en-US" w:eastAsia="zh-CN" w:bidi="ar-SA"/>
    </w:rPr>
  </w:style>
  <w:style w:type="character" w:styleId="1570" w:customStyle="1">
    <w:name w:val="WW8Num22z1"/>
    <w:uiPriority w:val="0"/>
    <w:qFormat/>
    <w:rPr>
      <w:rFonts w:ascii="Wingdings 2" w:hAnsi="Wingdings 2" w:cs="StarSymbol"/>
      <w:sz w:val="18"/>
      <w:szCs w:val="18"/>
    </w:rPr>
  </w:style>
  <w:style w:type="character" w:styleId="1571" w:customStyle="1">
    <w:name w:val="正文文本缩进 字符1"/>
    <w:uiPriority w:val="0"/>
    <w:semiHidden/>
    <w:qFormat/>
    <w:rPr>
      <w:rFonts w:ascii="方正仿宋_GBK" w:hAnsi="Times New Roman" w:eastAsia="方正仿宋_GBK" w:cs="Times New Roman"/>
      <w:sz w:val="32"/>
      <w:szCs w:val="20"/>
    </w:rPr>
  </w:style>
  <w:style w:type="character" w:styleId="1572" w:customStyle="1">
    <w:name w:val="WW8Num38z2"/>
    <w:uiPriority w:val="0"/>
    <w:qFormat/>
    <w:rPr>
      <w:rFonts w:ascii="StarSymbol" w:hAnsi="StarSymbol" w:cs="StarSymbol"/>
      <w:sz w:val="18"/>
      <w:szCs w:val="18"/>
    </w:rPr>
  </w:style>
  <w:style w:type="character" w:styleId="1573" w:customStyle="1">
    <w:name w:val="样式 加粗"/>
    <w:uiPriority w:val="0"/>
    <w:qFormat/>
    <w:rPr>
      <w:rFonts w:hint="eastAsia" w:ascii="宋体" w:hAnsi="宋体" w:eastAsia="宋体"/>
      <w:b/>
      <w:bCs/>
      <w:lang w:val="en-US" w:eastAsia="zh-CN" w:bidi="ar-SA"/>
    </w:rPr>
  </w:style>
  <w:style w:type="character" w:styleId="1574" w:customStyle="1">
    <w:name w:val="WW8Num18z2"/>
    <w:uiPriority w:val="0"/>
    <w:qFormat/>
    <w:rPr>
      <w:rFonts w:ascii="StarSymbol" w:hAnsi="StarSymbol" w:cs="StarSymbol"/>
      <w:sz w:val="18"/>
      <w:szCs w:val="18"/>
    </w:rPr>
  </w:style>
  <w:style w:type="character" w:styleId="1575" w:customStyle="1">
    <w:name w:val="myp112"/>
    <w:uiPriority w:val="0"/>
    <w:qFormat/>
    <w:rPr>
      <w:color w:val="000000"/>
      <w:sz w:val="22"/>
      <w:szCs w:val="22"/>
      <w:u w:val="none"/>
    </w:rPr>
  </w:style>
  <w:style w:type="character" w:styleId="1576" w:customStyle="1">
    <w:name w:val="fontstyle21"/>
    <w:uiPriority w:val="0"/>
    <w:qFormat/>
    <w:rPr>
      <w:rFonts w:ascii="Arial" w:hAnsi="Arial" w:cs="Arial"/>
      <w:color w:val="000000"/>
      <w:sz w:val="24"/>
      <w:szCs w:val="24"/>
    </w:rPr>
  </w:style>
  <w:style w:type="character" w:styleId="1577" w:customStyle="1">
    <w:name w:val="WW8Num2z1"/>
    <w:uiPriority w:val="0"/>
    <w:qFormat/>
    <w:rPr>
      <w:rFonts w:ascii="Wingdings 2" w:hAnsi="Wingdings 2" w:cs="StarSymbol"/>
      <w:sz w:val="18"/>
      <w:szCs w:val="18"/>
    </w:rPr>
  </w:style>
  <w:style w:type="character" w:styleId="1578" w:customStyle="1">
    <w:name w:val="日期 字符1"/>
    <w:uiPriority w:val="0"/>
    <w:semiHidden/>
    <w:qFormat/>
    <w:rPr>
      <w:rFonts w:ascii="Times New Roman" w:hAnsi="Times New Roman" w:eastAsia="方正仿宋_GBK" w:cs="Times New Roman"/>
      <w:szCs w:val="20"/>
    </w:rPr>
  </w:style>
  <w:style w:type="character" w:styleId="1579" w:customStyle="1">
    <w:name w:val="正文首行缩进 2 Char1"/>
    <w:uiPriority w:val="0"/>
    <w:qFormat/>
    <w:rPr>
      <w:rFonts w:hint="eastAsia" w:ascii="方正仿宋_GBK" w:eastAsia="方正仿宋_GBK"/>
      <w:sz w:val="32"/>
      <w:szCs w:val="28"/>
    </w:rPr>
  </w:style>
  <w:style w:type="character" w:styleId="1580" w:customStyle="1">
    <w:name w:val="WW8Num35z0"/>
    <w:uiPriority w:val="0"/>
    <w:qFormat/>
    <w:rPr>
      <w:rFonts w:ascii="Wingdings" w:hAnsi="Wingdings" w:cs="StarSymbol"/>
      <w:sz w:val="18"/>
      <w:szCs w:val="18"/>
    </w:rPr>
  </w:style>
  <w:style w:type="character" w:styleId="1581" w:customStyle="1">
    <w:name w:val="WW8Num12z2"/>
    <w:uiPriority w:val="0"/>
    <w:qFormat/>
    <w:rPr>
      <w:rFonts w:ascii="StarSymbol" w:hAnsi="StarSymbol" w:cs="StarSymbol"/>
      <w:sz w:val="18"/>
      <w:szCs w:val="18"/>
    </w:rPr>
  </w:style>
  <w:style w:type="character" w:styleId="1582" w:customStyle="1">
    <w:name w:val="WW8Num16z0"/>
    <w:uiPriority w:val="0"/>
    <w:qFormat/>
    <w:rPr>
      <w:rFonts w:ascii="Wingdings" w:hAnsi="Wingdings" w:cs="StarSymbol"/>
      <w:sz w:val="18"/>
      <w:szCs w:val="18"/>
    </w:rPr>
  </w:style>
  <w:style w:type="character" w:styleId="1583" w:customStyle="1">
    <w:name w:val="Bid_正文 Char"/>
    <w:uiPriority w:val="0"/>
    <w:qFormat/>
    <w:rPr>
      <w:sz w:val="24"/>
    </w:rPr>
  </w:style>
  <w:style w:type="character" w:styleId="1584" w:customStyle="1">
    <w:name w:val="WW8Num13z0"/>
    <w:uiPriority w:val="0"/>
    <w:qFormat/>
    <w:rPr>
      <w:rFonts w:ascii="Wingdings" w:hAnsi="Wingdings" w:cs="StarSymbol"/>
      <w:sz w:val="18"/>
      <w:szCs w:val="18"/>
    </w:rPr>
  </w:style>
  <w:style w:type="character" w:styleId="1585" w:customStyle="1">
    <w:name w:val="WW8Num37z0"/>
    <w:uiPriority w:val="0"/>
    <w:qFormat/>
    <w:rPr>
      <w:rFonts w:ascii="Wingdings" w:hAnsi="Wingdings" w:cs="StarSymbol"/>
      <w:sz w:val="18"/>
      <w:szCs w:val="18"/>
    </w:rPr>
  </w:style>
  <w:style w:type="character" w:styleId="1586" w:customStyle="1">
    <w:name w:val="WW8Num37z1"/>
    <w:uiPriority w:val="0"/>
    <w:qFormat/>
    <w:rPr>
      <w:rFonts w:ascii="Wingdings 2" w:hAnsi="Wingdings 2" w:cs="StarSymbol"/>
      <w:sz w:val="18"/>
      <w:szCs w:val="18"/>
    </w:rPr>
  </w:style>
  <w:style w:type="character" w:styleId="1587" w:customStyle="1">
    <w:name w:val="WW8Num34z0"/>
    <w:uiPriority w:val="0"/>
    <w:qFormat/>
    <w:rPr>
      <w:rFonts w:ascii="Wingdings" w:hAnsi="Wingdings" w:cs="StarSymbol"/>
      <w:sz w:val="18"/>
      <w:szCs w:val="18"/>
    </w:rPr>
  </w:style>
  <w:style w:type="character" w:styleId="1588" w:customStyle="1">
    <w:name w:val="WW8Num17z0"/>
    <w:uiPriority w:val="0"/>
    <w:qFormat/>
    <w:rPr>
      <w:rFonts w:ascii="Wingdings" w:hAnsi="Wingdings"/>
    </w:rPr>
  </w:style>
  <w:style w:type="character" w:styleId="1589" w:customStyle="1">
    <w:name w:val="WW8Num15z0"/>
    <w:uiPriority w:val="0"/>
    <w:qFormat/>
    <w:rPr>
      <w:rFonts w:ascii="Wingdings" w:hAnsi="Wingdings" w:cs="StarSymbol"/>
      <w:sz w:val="18"/>
      <w:szCs w:val="18"/>
    </w:rPr>
  </w:style>
  <w:style w:type="character" w:styleId="1590" w:customStyle="1">
    <w:name w:val="WW8Num28z1"/>
    <w:uiPriority w:val="0"/>
    <w:qFormat/>
    <w:rPr>
      <w:rFonts w:ascii="Wingdings 2" w:hAnsi="Wingdings 2" w:cs="StarSymbol"/>
      <w:sz w:val="18"/>
      <w:szCs w:val="18"/>
    </w:rPr>
  </w:style>
  <w:style w:type="character" w:styleId="1591" w:customStyle="1">
    <w:name w:val="WW8Num4z0"/>
    <w:uiPriority w:val="0"/>
    <w:qFormat/>
    <w:rPr>
      <w:rFonts w:ascii="Wingdings" w:hAnsi="Wingdings" w:cs="StarSymbol"/>
      <w:sz w:val="18"/>
      <w:szCs w:val="18"/>
    </w:rPr>
  </w:style>
  <w:style w:type="character" w:styleId="1592" w:customStyle="1">
    <w:name w:val="style101"/>
    <w:uiPriority w:val="0"/>
    <w:qFormat/>
    <w:rPr>
      <w:rFonts w:hint="eastAsia" w:ascii="宋体" w:hAnsi="宋体" w:eastAsia="宋体"/>
      <w:b/>
      <w:bCs/>
      <w:color w:val="ffffff"/>
      <w:sz w:val="21"/>
      <w:szCs w:val="21"/>
      <w:lang w:val="en-US" w:eastAsia="zh-CN" w:bidi="ar-SA"/>
    </w:rPr>
  </w:style>
  <w:style w:type="character" w:styleId="1593" w:customStyle="1">
    <w:name w:val="WW8Num5z0"/>
    <w:uiPriority w:val="0"/>
    <w:qFormat/>
    <w:rPr>
      <w:rFonts w:ascii="Wingdings" w:hAnsi="Wingdings" w:cs="StarSymbol"/>
      <w:sz w:val="18"/>
      <w:szCs w:val="18"/>
    </w:rPr>
  </w:style>
  <w:style w:type="character" w:styleId="1594" w:customStyle="1">
    <w:name w:val="无首行缩进正文 Char"/>
    <w:uiPriority w:val="0"/>
    <w:qFormat/>
  </w:style>
  <w:style w:type="character" w:styleId="1595" w:customStyle="1">
    <w:name w:val="批注框文本 Char2"/>
    <w:uiPriority w:val="0"/>
    <w:qFormat/>
    <w:rPr>
      <w:rFonts w:ascii="Times New Roman" w:hAnsi="Times New Roman" w:eastAsia="方正仿宋_GBK" w:cs="Times New Roman"/>
      <w:sz w:val="18"/>
      <w:szCs w:val="18"/>
    </w:rPr>
  </w:style>
  <w:style w:type="character" w:styleId="1596" w:customStyle="1">
    <w:name w:val="WW8Num29z2"/>
    <w:uiPriority w:val="0"/>
    <w:qFormat/>
    <w:rPr>
      <w:rFonts w:ascii="StarSymbol" w:hAnsi="StarSymbol" w:cs="StarSymbol"/>
      <w:sz w:val="18"/>
      <w:szCs w:val="18"/>
    </w:rPr>
  </w:style>
  <w:style w:type="character" w:styleId="1597" w:customStyle="1">
    <w:name w:val="WW8Num23z2"/>
    <w:uiPriority w:val="0"/>
    <w:qFormat/>
    <w:rPr>
      <w:rFonts w:ascii="StarSymbol" w:hAnsi="StarSymbol" w:cs="StarSymbol"/>
      <w:sz w:val="18"/>
      <w:szCs w:val="18"/>
    </w:rPr>
  </w:style>
  <w:style w:type="character" w:styleId="1598" w:customStyle="1">
    <w:name w:val="WW8Num19z0"/>
    <w:uiPriority w:val="0"/>
    <w:qFormat/>
    <w:rPr>
      <w:rFonts w:ascii="Wingdings" w:hAnsi="Wingdings" w:cs="StarSymbol"/>
      <w:sz w:val="18"/>
      <w:szCs w:val="18"/>
    </w:rPr>
  </w:style>
  <w:style w:type="character" w:styleId="1599" w:customStyle="1">
    <w:name w:val="WW8Num22z2"/>
    <w:uiPriority w:val="0"/>
    <w:qFormat/>
    <w:rPr>
      <w:rFonts w:ascii="StarSymbol" w:hAnsi="StarSymbol" w:cs="StarSymbol"/>
      <w:sz w:val="18"/>
      <w:szCs w:val="18"/>
    </w:rPr>
  </w:style>
  <w:style w:type="character" w:styleId="1600" w:customStyle="1">
    <w:name w:val="WW8Num24z1"/>
    <w:uiPriority w:val="0"/>
    <w:qFormat/>
    <w:rPr>
      <w:rFonts w:ascii="Wingdings 2" w:hAnsi="Wingdings 2" w:cs="StarSymbol"/>
      <w:sz w:val="18"/>
      <w:szCs w:val="18"/>
    </w:rPr>
  </w:style>
  <w:style w:type="character" w:styleId="1601" w:customStyle="1">
    <w:name w:val="标题 7 字符1"/>
    <w:uiPriority w:val="9"/>
    <w:qFormat/>
    <w:rPr>
      <w:rFonts w:ascii="Times New Roman" w:hAnsi="Times New Roman" w:eastAsia="方正仿宋_GBK" w:cs="Times New Roman"/>
      <w:b/>
      <w:bCs/>
      <w:sz w:val="24"/>
      <w:szCs w:val="24"/>
    </w:rPr>
  </w:style>
  <w:style w:type="character" w:styleId="1602" w:customStyle="1">
    <w:name w:val="标题 6 字符1"/>
    <w:uiPriority w:val="9"/>
    <w:qFormat/>
    <w:rPr>
      <w:rFonts w:ascii="仿宋" w:hAnsi="仿宋" w:eastAsia="仿宋"/>
      <w:bCs/>
      <w:sz w:val="32"/>
      <w:szCs w:val="32"/>
    </w:rPr>
  </w:style>
  <w:style w:type="character" w:styleId="1603" w:customStyle="1">
    <w:name w:val="WW8Num39z1"/>
    <w:uiPriority w:val="0"/>
    <w:qFormat/>
    <w:rPr>
      <w:rFonts w:ascii="Wingdings 2" w:hAnsi="Wingdings 2" w:cs="StarSymbol"/>
      <w:sz w:val="18"/>
      <w:szCs w:val="18"/>
    </w:rPr>
  </w:style>
  <w:style w:type="character" w:styleId="1604" w:customStyle="1">
    <w:name w:val="apple-style-span"/>
    <w:uiPriority w:val="0"/>
    <w:qFormat/>
  </w:style>
  <w:style w:type="character" w:styleId="1605" w:customStyle="1">
    <w:name w:val="注×： Char"/>
    <w:link w:val="1606"/>
    <w:uiPriority w:val="0"/>
    <w:qFormat/>
    <w:rPr>
      <w:rFonts w:ascii="宋体" w:hAnsi="等线" w:eastAsia="Arial" w:cs="Arial"/>
      <w:sz w:val="18"/>
      <w:szCs w:val="22"/>
      <w:lang w:val="en-US" w:eastAsia="zh-CN" w:bidi="ar-SA"/>
    </w:rPr>
  </w:style>
  <w:style w:type="paragraph" w:styleId="1606" w:customStyle="1">
    <w:name w:val="注×："/>
    <w:link w:val="1605"/>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07" w:customStyle="1">
    <w:name w:val="附录公式 Char"/>
    <w:link w:val="1608"/>
    <w:uiPriority w:val="0"/>
    <w:qFormat/>
    <w:rPr>
      <w:rFonts w:ascii="宋体"/>
    </w:rPr>
  </w:style>
  <w:style w:type="paragraph" w:styleId="1608" w:customStyle="1">
    <w:name w:val="附录公式"/>
    <w:basedOn w:val="809"/>
    <w:next w:val="809"/>
    <w:link w:val="1607"/>
    <w:uiPriority w:val="0"/>
    <w:qFormat/>
    <w:pPr>
      <w:ind w:firstLine="420"/>
      <w:tabs>
        <w:tab w:val="center" w:pos="4201" w:leader="none"/>
        <w:tab w:val="right" w:pos="9298" w:leader="dot"/>
      </w:tabs>
    </w:pPr>
    <w:rPr>
      <w:sz w:val="20"/>
      <w:lang w:eastAsia="en-US"/>
    </w:rPr>
  </w:style>
  <w:style w:type="character" w:styleId="1609" w:customStyle="1">
    <w:name w:val="附录图标题 Char"/>
    <w:link w:val="1610"/>
    <w:uiPriority w:val="0"/>
    <w:qFormat/>
    <w:rPr>
      <w:rFonts w:ascii="黑体" w:hAnsi="等线" w:eastAsia="黑体" w:cs="Arial"/>
      <w:sz w:val="21"/>
      <w:szCs w:val="22"/>
      <w:lang w:val="en-US" w:eastAsia="zh-CN" w:bidi="ar-SA"/>
    </w:rPr>
  </w:style>
  <w:style w:type="paragraph" w:styleId="1610" w:customStyle="1">
    <w:name w:val="附录图标题"/>
    <w:next w:val="809"/>
    <w:link w:val="1609"/>
    <w:uiPriority w:val="0"/>
    <w:qFormat/>
    <w:pPr>
      <w:jc w:val="center"/>
    </w:pPr>
    <w:rPr>
      <w:rFonts w:ascii="黑体" w:hAnsi="等线" w:eastAsia="黑体" w:cs="Arial"/>
      <w:sz w:val="21"/>
      <w:szCs w:val="22"/>
      <w:lang w:val="en-US" w:eastAsia="zh-CN" w:bidi="ar-SA"/>
    </w:rPr>
  </w:style>
  <w:style w:type="character" w:styleId="1611" w:customStyle="1">
    <w:name w:val="附录章标题 Char"/>
    <w:link w:val="1612"/>
    <w:uiPriority w:val="0"/>
    <w:qFormat/>
    <w:rPr>
      <w:rFonts w:ascii="黑体" w:hAnsi="等线" w:eastAsia="黑体" w:cs="Arial"/>
      <w:sz w:val="21"/>
      <w:szCs w:val="22"/>
      <w:lang w:val="en-US" w:eastAsia="zh-CN" w:bidi="ar-SA"/>
    </w:rPr>
  </w:style>
  <w:style w:type="paragraph" w:styleId="1612" w:customStyle="1">
    <w:name w:val="附录章标题"/>
    <w:next w:val="809"/>
    <w:link w:val="1611"/>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13" w:customStyle="1">
    <w:name w:val="附录一级条标题 Char"/>
    <w:link w:val="1614"/>
    <w:uiPriority w:val="0"/>
    <w:qFormat/>
    <w:rPr>
      <w:rFonts w:ascii="黑体" w:eastAsia="黑体"/>
    </w:rPr>
  </w:style>
  <w:style w:type="paragraph" w:styleId="1614" w:customStyle="1">
    <w:name w:val="附录一级条标题"/>
    <w:basedOn w:val="1612"/>
    <w:next w:val="809"/>
    <w:link w:val="1613"/>
    <w:uiPriority w:val="0"/>
    <w:qFormat/>
    <w:pPr>
      <w:ind w:left="0" w:firstLine="0"/>
      <w:outlineLvl w:val="2"/>
    </w:pPr>
    <w:rPr>
      <w:rFonts w:hAnsi="Times New Roman" w:cs="Times New Roman"/>
      <w:sz w:val="20"/>
      <w:szCs w:val="20"/>
      <w:lang w:eastAsia="en-US"/>
    </w:rPr>
  </w:style>
  <w:style w:type="character" w:styleId="1615" w:customStyle="1">
    <w:name w:val="首示例 Char"/>
    <w:link w:val="1616"/>
    <w:uiPriority w:val="0"/>
    <w:qFormat/>
    <w:rPr>
      <w:rFonts w:ascii="宋体" w:hAnsi="宋体" w:eastAsia="Arial" w:cs="Arial"/>
      <w:sz w:val="18"/>
      <w:szCs w:val="18"/>
      <w:lang w:val="en-US" w:eastAsia="zh-CN" w:bidi="ar-SA"/>
    </w:rPr>
  </w:style>
  <w:style w:type="paragraph" w:styleId="1616" w:customStyle="1">
    <w:name w:val="首示例"/>
    <w:next w:val="809"/>
    <w:link w:val="1615"/>
    <w:uiPriority w:val="0"/>
    <w:qFormat/>
    <w:pPr>
      <w:ind w:left="900"/>
      <w:tabs>
        <w:tab w:val="left" w:pos="360" w:leader="none"/>
      </w:tabs>
    </w:pPr>
    <w:rPr>
      <w:rFonts w:ascii="宋体" w:hAnsi="宋体" w:eastAsia="Arial" w:cs="Arial"/>
      <w:sz w:val="18"/>
      <w:szCs w:val="18"/>
      <w:lang w:val="en-US" w:eastAsia="zh-CN" w:bidi="ar-SA"/>
    </w:rPr>
  </w:style>
  <w:style w:type="character" w:styleId="1617" w:customStyle="1">
    <w:name w:val="无间隔 字符"/>
    <w:link w:val="1618"/>
    <w:uiPriority w:val="0"/>
    <w:qFormat/>
    <w:rPr>
      <w:rFonts w:ascii="Calibri" w:hAnsi="Calibri" w:eastAsia="Arial" w:cs="Arial"/>
      <w:sz w:val="21"/>
      <w:szCs w:val="22"/>
      <w:lang w:val="en-US" w:eastAsia="zh-CN" w:bidi="ar-SA"/>
    </w:rPr>
  </w:style>
  <w:style w:type="paragraph" w:styleId="1618" w:customStyle="1">
    <w:name w:val="无间隔111"/>
    <w:link w:val="1617"/>
    <w:uiPriority w:val="0"/>
    <w:qFormat/>
    <w:pPr>
      <w:jc w:val="both"/>
      <w:widowControl w:val="off"/>
    </w:pPr>
    <w:rPr>
      <w:rFonts w:ascii="Calibri" w:hAnsi="Calibri" w:eastAsia="Arial" w:cs="Arial"/>
      <w:sz w:val="21"/>
      <w:szCs w:val="22"/>
      <w:lang w:val="en-US" w:eastAsia="zh-CN" w:bidi="ar-SA"/>
    </w:rPr>
  </w:style>
  <w:style w:type="paragraph" w:styleId="1619" w:customStyle="1">
    <w:name w:val="xl19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xl19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标准书眉一"/>
    <w:uiPriority w:val="0"/>
    <w:qFormat/>
    <w:pPr>
      <w:jc w:val="both"/>
    </w:pPr>
    <w:rPr>
      <w:rFonts w:ascii="Times New Roman" w:hAnsi="Times New Roman" w:eastAsia="宋体" w:cs="Times New Roman"/>
      <w:lang w:val="en-US" w:eastAsia="zh-CN" w:bidi="ar-SA"/>
    </w:rPr>
  </w:style>
  <w:style w:type="paragraph" w:styleId="1622" w:customStyle="1">
    <w:name w:val="xl25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hands-on正文"/>
    <w:basedOn w:val="753"/>
    <w:uiPriority w:val="0"/>
    <w:qFormat/>
    <w:pPr>
      <w:ind w:firstLine="420"/>
      <w:jc w:val="left"/>
      <w:spacing w:before="40" w:after="80" w:line="320" w:lineRule="exact"/>
    </w:pPr>
    <w:rPr>
      <w:rFonts w:ascii="宋体" w:hAnsi="宋体" w:cs="宋体"/>
      <w:color w:val="000000"/>
      <w:szCs w:val="20"/>
    </w:rPr>
  </w:style>
  <w:style w:type="paragraph" w:styleId="1624" w:customStyle="1">
    <w:name w:val="标题3"/>
    <w:basedOn w:val="756"/>
    <w:uiPriority w:val="0"/>
    <w:qFormat/>
    <w:pPr>
      <w:keepLines w:val="0"/>
      <w:keepNext w:val="0"/>
      <w:spacing w:before="0" w:after="0" w:line="360" w:lineRule="auto"/>
    </w:pPr>
    <w:rPr>
      <w:rFonts w:eastAsia="仿宋_GB2312"/>
      <w:b w:val="0"/>
      <w:bCs/>
      <w:sz w:val="30"/>
      <w:szCs w:val="32"/>
    </w:rPr>
  </w:style>
  <w:style w:type="paragraph" w:styleId="1625" w:customStyle="1">
    <w:name w:val="xl19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三级无标题条"/>
    <w:basedOn w:val="753"/>
    <w:uiPriority w:val="0"/>
    <w:qFormat/>
    <w:pPr>
      <w:ind w:hanging="420"/>
    </w:pPr>
  </w:style>
  <w:style w:type="paragraph" w:styleId="1627" w:customStyle="1">
    <w:name w:val="列出段落3"/>
    <w:basedOn w:val="753"/>
    <w:uiPriority w:val="99"/>
    <w:qFormat/>
    <w:pPr>
      <w:ind w:firstLine="420"/>
    </w:pPr>
    <w:rPr>
      <w:rFonts w:ascii="Calibri" w:hAnsi="Calibri"/>
      <w:szCs w:val="22"/>
    </w:rPr>
  </w:style>
  <w:style w:type="paragraph" w:styleId="1628" w:customStyle="1">
    <w:name w:val="参考文献、索引标题"/>
    <w:basedOn w:val="1629"/>
    <w:next w:val="753"/>
    <w:uiPriority w:val="0"/>
    <w:qFormat/>
    <w:pPr>
      <w:spacing w:after="200"/>
      <w:tabs>
        <w:tab w:val="left" w:pos="425" w:leader="none"/>
      </w:tabs>
    </w:pPr>
    <w:rPr>
      <w:sz w:val="21"/>
    </w:rPr>
  </w:style>
  <w:style w:type="paragraph" w:styleId="1629" w:customStyle="1">
    <w:name w:val="前言、引言标题"/>
    <w:next w:val="753"/>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30" w:customStyle="1">
    <w:name w:val="xl28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customStyle="1">
    <w:name w:val="小四缩进"/>
    <w:basedOn w:val="753"/>
    <w:uiPriority w:val="0"/>
    <w:qFormat/>
    <w:pPr>
      <w:ind w:firstLine="480"/>
      <w:spacing w:line="360" w:lineRule="auto"/>
    </w:pPr>
    <w:rPr>
      <w:sz w:val="24"/>
    </w:rPr>
  </w:style>
  <w:style w:type="paragraph" w:styleId="1632" w:customStyle="1">
    <w:name w:val="xl15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示例"/>
    <w:next w:val="809"/>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34" w:customStyle="1">
    <w:name w:val="xl47"/>
    <w:basedOn w:val="753"/>
    <w:uiPriority w:val="0"/>
    <w:qFormat/>
    <w:pPr>
      <w:jc w:val="center"/>
      <w:spacing w:before="100" w:beforeAutospacing="1" w:after="100" w:afterAutospacing="1"/>
      <w:widowControl/>
    </w:pPr>
    <w:rPr>
      <w:rFonts w:hint="eastAsia" w:ascii="黑体" w:hAnsi="Arial Unicode MS" w:eastAsia="黑体"/>
      <w:b/>
      <w:bCs/>
      <w:sz w:val="24"/>
    </w:rPr>
  </w:style>
  <w:style w:type="paragraph" w:styleId="1635" w:customStyle="1">
    <w:name w:val="xl16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18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xl5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8" w:customStyle="1">
    <w:name w:val="xl21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可研正文"/>
    <w:basedOn w:val="75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0" w:customStyle="1">
    <w:name w:val="正文文本 31"/>
    <w:basedOn w:val="753"/>
    <w:uiPriority w:val="0"/>
    <w:qFormat/>
    <w:rPr>
      <w:rFonts w:ascii="仿宋_GB2312" w:hAnsi="Arial" w:eastAsia="仿宋_GB2312"/>
      <w:sz w:val="32"/>
      <w:szCs w:val="20"/>
    </w:rPr>
  </w:style>
  <w:style w:type="paragraph" w:styleId="1641" w:customStyle="1">
    <w:name w:val="xl17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实施日期"/>
    <w:basedOn w:val="1643"/>
    <w:uiPriority w:val="0"/>
    <w:qFormat/>
    <w:pPr>
      <w:ind w:left="2580" w:hanging="420"/>
      <w:jc w:val="right"/>
      <w:framePr w:hSpace="0" w:wrap="around" w:xAlign="right"/>
    </w:pPr>
  </w:style>
  <w:style w:type="paragraph" w:styleId="164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44" w:customStyle="1">
    <w:name w:val="xl30"/>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645" w:customStyle="1">
    <w:name w:val="xl309"/>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xl28"/>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647" w:customStyle="1">
    <w:name w:val="xl28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8" w:customStyle="1">
    <w:name w:val="我的标题1"/>
    <w:basedOn w:val="75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9" w:customStyle="1">
    <w:name w:val="无间隔11"/>
    <w:next w:val="1618"/>
    <w:uiPriority w:val="1"/>
    <w:qFormat/>
    <w:rPr>
      <w:rFonts w:ascii="Calibri" w:hAnsi="Calibri" w:eastAsia="宋体" w:cs="Times New Roman"/>
      <w:sz w:val="22"/>
      <w:szCs w:val="22"/>
      <w:lang w:val="en-US" w:eastAsia="zh-CN" w:bidi="ar-SA"/>
    </w:rPr>
  </w:style>
  <w:style w:type="paragraph" w:styleId="1650" w:customStyle="1">
    <w:name w:val="标准"/>
    <w:basedOn w:val="753"/>
    <w:uiPriority w:val="0"/>
    <w:qFormat/>
    <w:pPr>
      <w:spacing w:line="240" w:lineRule="atLeast"/>
    </w:pPr>
    <w:rPr>
      <w:rFonts w:eastAsia="楷体_GB2312"/>
      <w:sz w:val="24"/>
      <w:szCs w:val="20"/>
    </w:rPr>
  </w:style>
  <w:style w:type="paragraph" w:styleId="1651" w:customStyle="1">
    <w:name w:val="xl18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四级条标题"/>
    <w:basedOn w:val="1500"/>
    <w:next w:val="809"/>
    <w:uiPriority w:val="0"/>
    <w:qFormat/>
    <w:pPr>
      <w:ind w:left="2520" w:hanging="420"/>
      <w:outlineLvl w:val="5"/>
    </w:pPr>
  </w:style>
  <w:style w:type="paragraph" w:styleId="165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54" w:customStyle="1">
    <w:name w:val="xl27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xl31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6" w:customStyle="1">
    <w:name w:val="xl73"/>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7" w:customStyle="1">
    <w:name w:val="xl24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8" w:customStyle="1">
    <w:name w:val="xl4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60" w:customStyle="1">
    <w:name w:val="正文(首行缩进)"/>
    <w:basedOn w:val="753"/>
    <w:uiPriority w:val="0"/>
    <w:qFormat/>
    <w:pPr>
      <w:ind w:firstLine="480"/>
      <w:jc w:val="left"/>
      <w:spacing w:line="360" w:lineRule="auto"/>
    </w:pPr>
    <w:rPr>
      <w:rFonts w:ascii="楷体_GB2312" w:hAnsi="宋体" w:eastAsia="楷体_GB2312"/>
      <w:color w:val="000000"/>
      <w:sz w:val="24"/>
    </w:rPr>
  </w:style>
  <w:style w:type="paragraph" w:styleId="1661" w:customStyle="1">
    <w:name w:val="批注主题2"/>
    <w:basedOn w:val="831"/>
    <w:next w:val="831"/>
    <w:uiPriority w:val="0"/>
    <w:qFormat/>
    <w:rPr>
      <w:b/>
      <w:bCs/>
    </w:rPr>
  </w:style>
  <w:style w:type="paragraph" w:styleId="1662" w:customStyle="1">
    <w:name w:val="xl32"/>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普通(网站)2"/>
    <w:basedOn w:val="753"/>
    <w:uiPriority w:val="0"/>
    <w:qFormat/>
    <w:pPr>
      <w:jc w:val="left"/>
      <w:spacing w:before="100" w:beforeAutospacing="1" w:after="100" w:afterAutospacing="1"/>
      <w:widowControl/>
    </w:pPr>
    <w:rPr>
      <w:rFonts w:ascii="宋体" w:hAnsi="宋体" w:cs="宋体"/>
      <w:color w:val="000000"/>
      <w:sz w:val="24"/>
    </w:rPr>
  </w:style>
  <w:style w:type="paragraph" w:styleId="1664" w:customStyle="1">
    <w:name w:val="xl22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条文脚注"/>
    <w:basedOn w:val="874"/>
    <w:uiPriority w:val="0"/>
    <w:qFormat/>
    <w:pPr>
      <w:ind w:left="780" w:hanging="360"/>
      <w:jc w:val="both"/>
    </w:pPr>
    <w:rPr>
      <w:rFonts w:ascii="宋体"/>
    </w:rPr>
  </w:style>
  <w:style w:type="paragraph" w:styleId="1666" w:customStyle="1">
    <w:name w:val="22h222heading2hiddenhead"/>
    <w:basedOn w:val="753"/>
    <w:uiPriority w:val="0"/>
    <w:qFormat/>
    <w:pPr>
      <w:jc w:val="left"/>
      <w:spacing w:before="100" w:beforeAutospacing="1" w:after="100" w:afterAutospacing="1"/>
      <w:widowControl/>
    </w:pPr>
    <w:rPr>
      <w:rFonts w:ascii="宋体" w:hAnsi="宋体" w:cs="宋体"/>
      <w:sz w:val="24"/>
    </w:rPr>
  </w:style>
  <w:style w:type="paragraph" w:styleId="1667" w:customStyle="1">
    <w:name w:val="xl24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customStyle="1">
    <w:name w:val="xl28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23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正文·"/>
    <w:basedOn w:val="75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1" w:customStyle="1">
    <w:name w:val="标题4"/>
    <w:basedOn w:val="756"/>
    <w:uiPriority w:val="0"/>
    <w:qFormat/>
    <w:pPr>
      <w:jc w:val="center"/>
      <w:spacing w:before="120" w:after="120" w:line="415" w:lineRule="auto"/>
    </w:pPr>
    <w:rPr>
      <w:rFonts w:eastAsia="仿宋_GB2312"/>
    </w:rPr>
  </w:style>
  <w:style w:type="paragraph" w:styleId="1672" w:customStyle="1">
    <w:name w:val="xl16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font0"/>
    <w:basedOn w:val="753"/>
    <w:uiPriority w:val="0"/>
    <w:qFormat/>
    <w:pPr>
      <w:jc w:val="left"/>
      <w:spacing w:before="100" w:beforeAutospacing="1" w:after="100" w:afterAutospacing="1"/>
      <w:widowControl/>
    </w:pPr>
    <w:rPr>
      <w:rFonts w:hint="eastAsia" w:ascii="宋体" w:hAnsi="宋体"/>
      <w:sz w:val="24"/>
    </w:rPr>
  </w:style>
  <w:style w:type="paragraph" w:styleId="167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75" w:customStyle="1">
    <w:name w:val="xl23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xl16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78" w:customStyle="1">
    <w:name w:val="font13"/>
    <w:basedOn w:val="753"/>
    <w:uiPriority w:val="0"/>
    <w:qFormat/>
    <w:pPr>
      <w:jc w:val="left"/>
      <w:spacing w:before="100" w:beforeAutospacing="1" w:after="100" w:afterAutospacing="1"/>
      <w:widowControl/>
    </w:pPr>
    <w:rPr>
      <w:rFonts w:hint="eastAsia" w:ascii="宋体" w:hAnsi="宋体"/>
      <w:b/>
      <w:bCs/>
      <w:sz w:val="20"/>
      <w:szCs w:val="20"/>
    </w:rPr>
  </w:style>
  <w:style w:type="paragraph" w:styleId="1679" w:customStyle="1">
    <w:name w:val="样式4"/>
    <w:basedOn w:val="753"/>
    <w:uiPriority w:val="0"/>
    <w:qFormat/>
    <w:pPr>
      <w:ind w:left="-2"/>
      <w:spacing w:line="440" w:lineRule="exact"/>
    </w:pPr>
    <w:rPr>
      <w:rFonts w:ascii="宋体" w:hAnsi="宋体"/>
      <w:sz w:val="28"/>
    </w:rPr>
  </w:style>
  <w:style w:type="paragraph" w:styleId="1680" w:customStyle="1">
    <w:name w:val="Char2"/>
    <w:basedOn w:val="753"/>
    <w:uiPriority w:val="0"/>
    <w:qFormat/>
    <w:pPr>
      <w:tabs>
        <w:tab w:val="left" w:pos="360" w:leader="none"/>
      </w:tabs>
    </w:pPr>
    <w:rPr>
      <w:sz w:val="24"/>
    </w:rPr>
  </w:style>
  <w:style w:type="paragraph" w:styleId="1681" w:customStyle="1">
    <w:name w:val="正文文本缩进1"/>
    <w:basedOn w:val="753"/>
    <w:uiPriority w:val="0"/>
    <w:qFormat/>
    <w:pPr>
      <w:ind w:firstLine="645"/>
    </w:pPr>
    <w:rPr>
      <w:rFonts w:ascii="楷体_GB2312" w:eastAsia="楷体_GB2312"/>
      <w:sz w:val="32"/>
      <w:szCs w:val="20"/>
    </w:rPr>
  </w:style>
  <w:style w:type="paragraph" w:styleId="1682" w:customStyle="1">
    <w:name w:val="xl25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xl24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customStyle="1">
    <w:name w:val="列表2"/>
    <w:basedOn w:val="753"/>
    <w:uiPriority w:val="0"/>
    <w:qFormat/>
    <w:pPr>
      <w:ind w:left="200" w:hanging="200"/>
    </w:pPr>
  </w:style>
  <w:style w:type="paragraph" w:styleId="1685" w:customStyle="1">
    <w:name w:val="Char Char1 Char Char Char Char Char Char Char Char"/>
    <w:basedOn w:val="753"/>
    <w:uiPriority w:val="0"/>
    <w:qFormat/>
    <w:pPr>
      <w:spacing w:line="360" w:lineRule="auto"/>
    </w:pPr>
  </w:style>
  <w:style w:type="paragraph" w:styleId="1686" w:customStyle="1">
    <w:name w:val="正文4"/>
    <w:basedOn w:val="753"/>
    <w:uiPriority w:val="0"/>
    <w:qFormat/>
    <w:pPr>
      <w:ind w:firstLine="480"/>
      <w:spacing w:line="360" w:lineRule="auto"/>
    </w:pPr>
    <w:rPr>
      <w:rFonts w:ascii="楷体_GB2312" w:hAnsi="宋体" w:eastAsia="楷体_GB2312"/>
      <w:sz w:val="24"/>
      <w:szCs w:val="20"/>
    </w:rPr>
  </w:style>
  <w:style w:type="paragraph" w:styleId="1687" w:customStyle="1">
    <w:name w:val="封面标准号2"/>
    <w:basedOn w:val="1677"/>
    <w:uiPriority w:val="0"/>
    <w:qFormat/>
    <w:pPr>
      <w:spacing w:before="357" w:line="280" w:lineRule="exact"/>
      <w:framePr w:w="9138" w:h="1244" w:wrap="around" w:vAnchor="page" w:hAnchor="margin" w:y="2908" w:hRule="exact"/>
    </w:pPr>
  </w:style>
  <w:style w:type="paragraph" w:styleId="1688" w:customStyle="1">
    <w:name w:val="xl26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日期3"/>
    <w:basedOn w:val="753"/>
    <w:next w:val="753"/>
    <w:uiPriority w:val="0"/>
    <w:qFormat/>
    <w:pPr>
      <w:ind w:left="100"/>
    </w:pPr>
    <w:rPr>
      <w:rFonts w:ascii="仿宋_GB2312" w:eastAsia="仿宋_GB2312"/>
      <w:b/>
      <w:sz w:val="36"/>
    </w:rPr>
  </w:style>
  <w:style w:type="paragraph" w:styleId="1690" w:customStyle="1">
    <w:name w:val="xl21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26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批注主题1"/>
    <w:basedOn w:val="831"/>
    <w:next w:val="831"/>
    <w:uiPriority w:val="0"/>
    <w:qFormat/>
    <w:rPr>
      <w:b/>
      <w:bCs/>
    </w:rPr>
  </w:style>
  <w:style w:type="paragraph" w:styleId="1693" w:customStyle="1">
    <w:name w:val="xl77"/>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95" w:customStyle="1">
    <w:name w:val="xl64"/>
    <w:basedOn w:val="75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6" w:customStyle="1">
    <w:name w:val="xl22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列出段落11"/>
    <w:basedOn w:val="753"/>
    <w:uiPriority w:val="0"/>
    <w:qFormat/>
    <w:pPr>
      <w:ind w:firstLine="420"/>
    </w:pPr>
  </w:style>
  <w:style w:type="paragraph" w:styleId="1698" w:customStyle="1">
    <w:name w:val="Style Heading 2 节 + Before:  0.35 line After:  0.35 line"/>
    <w:basedOn w:val="1699"/>
    <w:uiPriority w:val="0"/>
    <w:qFormat/>
    <w:pPr>
      <w:ind w:left="0" w:firstLine="0"/>
      <w:tabs>
        <w:tab w:val="left" w:pos="576" w:leader="none"/>
      </w:tabs>
    </w:pPr>
    <w:rPr>
      <w:szCs w:val="20"/>
    </w:rPr>
  </w:style>
  <w:style w:type="paragraph" w:styleId="1699" w:customStyle="1">
    <w:name w:val="Heading 2 节"/>
    <w:next w:val="753"/>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00" w:customStyle="1">
    <w:name w:val="正文文本 32"/>
    <w:basedOn w:val="753"/>
    <w:uiPriority w:val="0"/>
    <w:qFormat/>
    <w:rPr>
      <w:rFonts w:ascii="仿宋_GB2312" w:hAnsi="Arial" w:eastAsia="仿宋_GB2312"/>
      <w:sz w:val="32"/>
      <w:szCs w:val="20"/>
    </w:rPr>
  </w:style>
  <w:style w:type="paragraph" w:styleId="1701" w:customStyle="1">
    <w:name w:val="xl18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customStyle="1">
    <w:name w:val="xl27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5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4" w:customStyle="1">
    <w:name w:val="xl16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TOC 标题11"/>
    <w:basedOn w:val="754"/>
    <w:next w:val="7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6" w:customStyle="1">
    <w:name w:val="xl14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xl20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GP正文(首行缩进)"/>
    <w:basedOn w:val="753"/>
    <w:uiPriority w:val="0"/>
    <w:qFormat/>
    <w:pPr>
      <w:ind w:firstLine="200"/>
      <w:jc w:val="left"/>
      <w:spacing w:line="360" w:lineRule="auto"/>
    </w:pPr>
    <w:rPr>
      <w:sz w:val="24"/>
      <w:szCs w:val="21"/>
    </w:rPr>
  </w:style>
  <w:style w:type="paragraph" w:styleId="1709" w:customStyle="1">
    <w:name w:val="xl26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xl5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1" w:customStyle="1">
    <w:name w:val="xl21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font9"/>
    <w:basedOn w:val="753"/>
    <w:uiPriority w:val="0"/>
    <w:qFormat/>
    <w:pPr>
      <w:jc w:val="left"/>
      <w:spacing w:before="100" w:beforeAutospacing="1" w:after="100" w:afterAutospacing="1"/>
      <w:widowControl/>
    </w:pPr>
    <w:rPr>
      <w:rFonts w:eastAsia="Arial Unicode MS"/>
      <w:sz w:val="20"/>
      <w:szCs w:val="20"/>
    </w:rPr>
  </w:style>
  <w:style w:type="paragraph" w:styleId="1713" w:customStyle="1">
    <w:name w:val="xl35"/>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4" w:customStyle="1">
    <w:name w:val="正文文本 21"/>
    <w:basedOn w:val="753"/>
    <w:uiPriority w:val="0"/>
    <w:qFormat/>
    <w:pPr>
      <w:spacing w:after="120" w:line="480" w:lineRule="auto"/>
    </w:pPr>
  </w:style>
  <w:style w:type="paragraph" w:styleId="1715" w:customStyle="1">
    <w:name w:val="五级条标题"/>
    <w:basedOn w:val="1652"/>
    <w:next w:val="809"/>
    <w:uiPriority w:val="0"/>
    <w:qFormat/>
    <w:pPr>
      <w:ind w:left="1276" w:hanging="1276"/>
      <w:tabs>
        <w:tab w:val="left" w:pos="1800" w:leader="none"/>
      </w:tabs>
      <w:outlineLvl w:val="6"/>
    </w:pPr>
  </w:style>
  <w:style w:type="paragraph" w:styleId="1716" w:customStyle="1">
    <w:name w:val="xl303"/>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7" w:customStyle="1">
    <w:name w:val="xl27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正文编号"/>
    <w:basedOn w:val="75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9" w:customStyle="1">
    <w:name w:val="xl301"/>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61"/>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1" w:customStyle="1">
    <w:name w:val="xl28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xl28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封面正文"/>
    <w:uiPriority w:val="0"/>
    <w:qFormat/>
    <w:pPr>
      <w:jc w:val="both"/>
    </w:pPr>
    <w:rPr>
      <w:rFonts w:ascii="Times New Roman" w:hAnsi="Times New Roman" w:eastAsia="宋体" w:cs="Times New Roman"/>
      <w:lang w:val="en-US" w:eastAsia="zh-CN" w:bidi="ar-SA"/>
    </w:rPr>
  </w:style>
  <w:style w:type="paragraph" w:styleId="1724" w:customStyle="1">
    <w:name w:val="xl21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制作人文字"/>
    <w:basedOn w:val="753"/>
    <w:uiPriority w:val="0"/>
    <w:qFormat/>
    <w:rPr>
      <w:rFonts w:ascii="Arial" w:hAnsi="Arial" w:eastAsia="仿宋_GB2312"/>
      <w:bCs/>
      <w:sz w:val="28"/>
      <w:szCs w:val="20"/>
    </w:rPr>
  </w:style>
  <w:style w:type="paragraph" w:styleId="1726" w:customStyle="1">
    <w:name w:val="xl5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7" w:customStyle="1">
    <w:name w:val="xl25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8" w:customStyle="1">
    <w:name w:val="xl3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29" w:customStyle="1">
    <w:name w:val="font10"/>
    <w:basedOn w:val="753"/>
    <w:uiPriority w:val="0"/>
    <w:qFormat/>
    <w:pPr>
      <w:jc w:val="left"/>
      <w:spacing w:before="100" w:beforeAutospacing="1" w:after="100" w:afterAutospacing="1"/>
      <w:widowControl/>
    </w:pPr>
    <w:rPr>
      <w:rFonts w:eastAsia="Arial Unicode MS"/>
      <w:color w:val="000000"/>
      <w:sz w:val="20"/>
      <w:szCs w:val="20"/>
    </w:rPr>
  </w:style>
  <w:style w:type="paragraph" w:styleId="1730" w:customStyle="1">
    <w:name w:val="纯文本2"/>
    <w:basedOn w:val="753"/>
    <w:uiPriority w:val="0"/>
    <w:qFormat/>
    <w:rPr>
      <w:rFonts w:ascii="宋体" w:hAnsi="Courier New"/>
      <w:szCs w:val="21"/>
    </w:rPr>
  </w:style>
  <w:style w:type="paragraph" w:styleId="1731" w:customStyle="1">
    <w:name w:val="font12"/>
    <w:basedOn w:val="753"/>
    <w:uiPriority w:val="0"/>
    <w:qFormat/>
    <w:pPr>
      <w:jc w:val="left"/>
      <w:spacing w:before="100" w:beforeAutospacing="1" w:after="100" w:afterAutospacing="1"/>
      <w:widowControl/>
    </w:pPr>
    <w:rPr>
      <w:rFonts w:eastAsia="Arial Unicode MS"/>
      <w:b/>
      <w:bCs/>
      <w:sz w:val="20"/>
      <w:szCs w:val="20"/>
    </w:rPr>
  </w:style>
  <w:style w:type="paragraph" w:styleId="1732" w:customStyle="1">
    <w:name w:val="xl31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3" w:customStyle="1">
    <w:name w:val="xl6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4" w:customStyle="1">
    <w:name w:val="xl31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xl6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customStyle="1">
    <w:name w:val="xl29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附录标识"/>
    <w:basedOn w:val="1629"/>
    <w:uiPriority w:val="0"/>
    <w:qFormat/>
    <w:pPr>
      <w:ind w:left="780" w:hanging="360"/>
      <w:spacing w:after="200"/>
      <w:tabs>
        <w:tab w:val="left" w:pos="780" w:leader="none"/>
        <w:tab w:val="left" w:pos="6405" w:leader="none"/>
      </w:tabs>
    </w:pPr>
    <w:rPr>
      <w:sz w:val="21"/>
    </w:rPr>
  </w:style>
  <w:style w:type="paragraph" w:styleId="1738" w:customStyle="1">
    <w:name w:val="xl34"/>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9" w:customStyle="1">
    <w:name w:val="xl22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font5"/>
    <w:basedOn w:val="753"/>
    <w:uiPriority w:val="0"/>
    <w:qFormat/>
    <w:pPr>
      <w:jc w:val="left"/>
      <w:spacing w:before="100" w:beforeAutospacing="1" w:after="100" w:afterAutospacing="1"/>
      <w:widowControl/>
    </w:pPr>
    <w:rPr>
      <w:rFonts w:ascii="Tahoma" w:hAnsi="Tahoma" w:eastAsia="Arial Unicode MS" w:cs="Tahoma"/>
      <w:sz w:val="20"/>
      <w:szCs w:val="20"/>
    </w:rPr>
  </w:style>
  <w:style w:type="paragraph" w:styleId="1741" w:customStyle="1">
    <w:name w:val="xl19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7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3" w:customStyle="1">
    <w:name w:val="_Style 5"/>
    <w:basedOn w:val="753"/>
    <w:uiPriority w:val="34"/>
    <w:qFormat/>
  </w:style>
  <w:style w:type="paragraph" w:styleId="1744" w:customStyle="1">
    <w:name w:val="xl21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font6"/>
    <w:basedOn w:val="75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6" w:customStyle="1">
    <w:name w:val="xl300"/>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7" w:customStyle="1">
    <w:name w:val="样式1111"/>
    <w:basedOn w:val="753"/>
    <w:uiPriority w:val="0"/>
    <w:qFormat/>
    <w:pPr>
      <w:ind w:firstLine="200"/>
      <w:jc w:val="left"/>
      <w:spacing w:line="360" w:lineRule="auto"/>
    </w:pPr>
    <w:rPr>
      <w:sz w:val="24"/>
    </w:rPr>
  </w:style>
  <w:style w:type="paragraph" w:styleId="1748" w:customStyle="1">
    <w:name w:val="xl75"/>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9" w:customStyle="1">
    <w:name w:val="xl31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0" w:customStyle="1">
    <w:name w:val="xl24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xl3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2" w:customStyle="1">
    <w:name w:val="TOC 标题21"/>
    <w:basedOn w:val="754"/>
    <w:next w:val="7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3" w:customStyle="1">
    <w:name w:val="样式 样式 标题 3H3Heading 3 - oldh3sect1.2.3BOD 0level_3PIM 3Leve... +..."/>
    <w:basedOn w:val="753"/>
    <w:uiPriority w:val="0"/>
    <w:qFormat/>
    <w:pPr>
      <w:ind w:left="709" w:hanging="709"/>
      <w:spacing w:line="300" w:lineRule="auto"/>
      <w:tabs>
        <w:tab w:val="left" w:pos="709" w:leader="none"/>
      </w:tabs>
    </w:pPr>
  </w:style>
  <w:style w:type="paragraph" w:styleId="1754" w:customStyle="1">
    <w:name w:val="Char11"/>
    <w:basedOn w:val="753"/>
    <w:uiPriority w:val="0"/>
    <w:qFormat/>
    <w:rPr>
      <w:rFonts w:ascii="Tahoma" w:hAnsi="Tahoma"/>
      <w:sz w:val="24"/>
      <w:szCs w:val="20"/>
    </w:rPr>
  </w:style>
  <w:style w:type="paragraph" w:styleId="1755" w:customStyle="1">
    <w:name w:val="xl17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20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我的表格文字"/>
    <w:basedOn w:val="753"/>
    <w:uiPriority w:val="0"/>
    <w:qFormat/>
    <w:pPr>
      <w:jc w:val="left"/>
      <w:widowControl/>
    </w:pPr>
    <w:rPr>
      <w:rFonts w:ascii="Arial" w:hAnsi="Arial" w:cs="Microsoft Sans Serif"/>
      <w:sz w:val="24"/>
      <w:szCs w:val="18"/>
    </w:rPr>
  </w:style>
  <w:style w:type="paragraph" w:styleId="1758" w:customStyle="1">
    <w:name w:val="xl24"/>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正文文本 22"/>
    <w:basedOn w:val="753"/>
    <w:uiPriority w:val="0"/>
    <w:qFormat/>
    <w:pPr>
      <w:spacing w:after="120" w:line="480" w:lineRule="auto"/>
    </w:pPr>
  </w:style>
  <w:style w:type="paragraph" w:styleId="1760" w:customStyle="1">
    <w:name w:val="xl3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1" w:customStyle="1">
    <w:name w:val="xl29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xl29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3" w:customStyle="1">
    <w:name w:val="附录二级条标题"/>
    <w:basedOn w:val="1614"/>
    <w:next w:val="809"/>
    <w:uiPriority w:val="0"/>
    <w:qFormat/>
    <w:pPr>
      <w:ind w:left="1779" w:hanging="1069"/>
      <w:outlineLvl w:val="3"/>
    </w:pPr>
  </w:style>
  <w:style w:type="paragraph" w:styleId="1764" w:customStyle="1">
    <w:name w:val="xl6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5" w:customStyle="1">
    <w:name w:val="xl18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FA正文+标号"/>
    <w:basedOn w:val="75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7" w:customStyle="1">
    <w:name w:val="xl6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8" w:customStyle="1">
    <w:name w:val="xl15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附录三级条标题"/>
    <w:basedOn w:val="1763"/>
    <w:next w:val="809"/>
    <w:uiPriority w:val="0"/>
    <w:qFormat/>
    <w:pPr>
      <w:ind w:left="851" w:hanging="851"/>
      <w:outlineLvl w:val="4"/>
    </w:pPr>
  </w:style>
  <w:style w:type="paragraph" w:styleId="1770" w:customStyle="1">
    <w:name w:val="xl29"/>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文档结构图2"/>
    <w:basedOn w:val="753"/>
    <w:uiPriority w:val="0"/>
    <w:qFormat/>
    <w:rPr>
      <w:rFonts w:ascii="宋体"/>
      <w:sz w:val="18"/>
      <w:szCs w:val="18"/>
    </w:rPr>
  </w:style>
  <w:style w:type="paragraph" w:styleId="1772" w:customStyle="1">
    <w:name w:val="xl5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3" w:customStyle="1">
    <w:name w:val="xl206"/>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4" w:customStyle="1">
    <w:name w:val="xl32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5" w:customStyle="1">
    <w:name w:val="xl3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6" w:customStyle="1">
    <w:name w:val="附录四级条标题"/>
    <w:basedOn w:val="1769"/>
    <w:next w:val="809"/>
    <w:uiPriority w:val="0"/>
    <w:qFormat/>
    <w:pPr>
      <w:ind w:left="992" w:hanging="992"/>
      <w:outlineLvl w:val="5"/>
    </w:pPr>
  </w:style>
  <w:style w:type="paragraph" w:styleId="1777" w:customStyle="1">
    <w:name w:val="font8"/>
    <w:basedOn w:val="753"/>
    <w:uiPriority w:val="0"/>
    <w:qFormat/>
    <w:pPr>
      <w:jc w:val="left"/>
      <w:spacing w:before="100" w:beforeAutospacing="1" w:after="100" w:afterAutospacing="1"/>
      <w:widowControl/>
    </w:pPr>
    <w:rPr>
      <w:rFonts w:hint="eastAsia" w:ascii="宋体" w:hAnsi="宋体"/>
      <w:color w:val="000000"/>
      <w:sz w:val="20"/>
      <w:szCs w:val="20"/>
    </w:rPr>
  </w:style>
  <w:style w:type="paragraph" w:styleId="1778" w:customStyle="1">
    <w:name w:val="xl18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xl28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正文符号编号"/>
    <w:basedOn w:val="753"/>
    <w:uiPriority w:val="0"/>
    <w:qFormat/>
    <w:pPr>
      <w:ind w:left="1395" w:hanging="600"/>
      <w:spacing w:line="360" w:lineRule="auto"/>
      <w:tabs>
        <w:tab w:val="left" w:pos="1395" w:leader="none"/>
      </w:tabs>
    </w:pPr>
    <w:rPr>
      <w:sz w:val="24"/>
      <w:szCs w:val="20"/>
    </w:rPr>
  </w:style>
  <w:style w:type="paragraph" w:styleId="1781" w:customStyle="1">
    <w:name w:val="xl31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25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正文 + 四号"/>
    <w:basedOn w:val="753"/>
    <w:uiPriority w:val="0"/>
    <w:qFormat/>
    <w:pPr>
      <w:spacing w:line="480" w:lineRule="exact"/>
    </w:pPr>
    <w:rPr>
      <w:sz w:val="28"/>
      <w:szCs w:val="20"/>
    </w:rPr>
  </w:style>
  <w:style w:type="paragraph" w:styleId="1784" w:customStyle="1">
    <w:name w:val="xl15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Char1 Char Char Char"/>
    <w:basedOn w:val="753"/>
    <w:uiPriority w:val="99"/>
    <w:qFormat/>
    <w:rPr>
      <w:rFonts w:ascii="Tahoma" w:hAnsi="Tahoma"/>
      <w:sz w:val="24"/>
      <w:szCs w:val="20"/>
    </w:rPr>
  </w:style>
  <w:style w:type="paragraph" w:styleId="1786" w:customStyle="1">
    <w:name w:val="xl5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7" w:customStyle="1">
    <w:name w:val="xl29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附录五级条标题"/>
    <w:basedOn w:val="1776"/>
    <w:next w:val="809"/>
    <w:uiPriority w:val="0"/>
    <w:qFormat/>
    <w:pPr>
      <w:ind w:left="2940" w:hanging="420"/>
      <w:tabs>
        <w:tab w:val="left" w:pos="780" w:leader="none"/>
        <w:tab w:val="left" w:pos="1800" w:leader="none"/>
      </w:tabs>
      <w:outlineLvl w:val="6"/>
    </w:pPr>
  </w:style>
  <w:style w:type="paragraph" w:styleId="1789" w:customStyle="1">
    <w:name w:val="font11"/>
    <w:basedOn w:val="753"/>
    <w:uiPriority w:val="0"/>
    <w:qFormat/>
    <w:pPr>
      <w:jc w:val="left"/>
      <w:spacing w:before="100" w:beforeAutospacing="1" w:after="100" w:afterAutospacing="1"/>
      <w:widowControl/>
    </w:pPr>
    <w:rPr>
      <w:rFonts w:hint="eastAsia" w:ascii="宋体" w:hAnsi="宋体"/>
      <w:sz w:val="20"/>
      <w:szCs w:val="20"/>
    </w:rPr>
  </w:style>
  <w:style w:type="paragraph" w:styleId="1790" w:customStyle="1">
    <w:name w:val="xl173"/>
    <w:basedOn w:val="7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正文首行缩进1"/>
    <w:basedOn w:val="753"/>
    <w:uiPriority w:val="0"/>
    <w:qFormat/>
    <w:pPr>
      <w:ind w:firstLine="420"/>
      <w:spacing w:line="360" w:lineRule="auto"/>
    </w:pPr>
    <w:rPr>
      <w:rFonts w:ascii="Arial" w:hAnsi="Arial"/>
      <w:sz w:val="20"/>
      <w:szCs w:val="21"/>
    </w:rPr>
  </w:style>
  <w:style w:type="paragraph" w:styleId="1792" w:customStyle="1">
    <w:name w:val="图表目录1"/>
    <w:basedOn w:val="853"/>
    <w:uiPriority w:val="0"/>
    <w:qFormat/>
    <w:pPr>
      <w:jc w:val="center"/>
      <w:spacing w:after="120" w:line="360" w:lineRule="auto"/>
    </w:pPr>
    <w:rPr>
      <w:rFonts w:ascii="楷体"/>
      <w:sz w:val="28"/>
    </w:rPr>
  </w:style>
  <w:style w:type="paragraph" w:styleId="1793" w:customStyle="1">
    <w:name w:val="xl29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4" w:customStyle="1">
    <w:name w:val="xl25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46"/>
    <w:basedOn w:val="753"/>
    <w:uiPriority w:val="0"/>
    <w:qFormat/>
    <w:pPr>
      <w:jc w:val="left"/>
      <w:spacing w:before="100" w:beforeAutospacing="1" w:after="100" w:afterAutospacing="1"/>
      <w:widowControl/>
    </w:pPr>
    <w:rPr>
      <w:rFonts w:ascii="Arial Unicode MS" w:hAnsi="Arial Unicode MS" w:eastAsia="Arial Unicode MS"/>
      <w:sz w:val="24"/>
    </w:rPr>
  </w:style>
  <w:style w:type="paragraph" w:styleId="1796" w:customStyle="1">
    <w:name w:val="xl7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7" w:customStyle="1">
    <w:name w:val="xl22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xl21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表格1"/>
    <w:basedOn w:val="753"/>
    <w:uiPriority w:val="0"/>
    <w:qFormat/>
    <w:rPr>
      <w:rFonts w:ascii="宋体"/>
      <w:szCs w:val="21"/>
    </w:rPr>
  </w:style>
  <w:style w:type="paragraph" w:styleId="1800" w:customStyle="1">
    <w:name w:val="TOC 51"/>
    <w:basedOn w:val="753"/>
    <w:next w:val="753"/>
    <w:uiPriority w:val="39"/>
    <w:qFormat/>
    <w:pPr>
      <w:ind w:left="1680"/>
    </w:pPr>
    <w:rPr>
      <w:rFonts w:ascii="Calibri" w:hAnsi="Calibri"/>
      <w:szCs w:val="22"/>
    </w:rPr>
  </w:style>
  <w:style w:type="paragraph" w:styleId="1801" w:customStyle="1">
    <w:name w:val="xl17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Style Heading 3H31.1.1标题 3Level 3 Headlevel_3PIM 3h3sect1.2...."/>
    <w:basedOn w:val="756"/>
    <w:uiPriority w:val="0"/>
    <w:qFormat/>
    <w:pPr>
      <w:ind w:left="720" w:hanging="720"/>
      <w:spacing w:before="120" w:after="120" w:line="360" w:lineRule="auto"/>
    </w:pPr>
    <w:rPr>
      <w:rFonts w:eastAsia="黑体"/>
      <w:bCs/>
      <w:sz w:val="24"/>
    </w:rPr>
  </w:style>
  <w:style w:type="paragraph" w:styleId="1803" w:customStyle="1">
    <w:name w:val="xl25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xl26"/>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30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6"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07" w:customStyle="1">
    <w:name w:val="Char1"/>
    <w:basedOn w:val="753"/>
    <w:uiPriority w:val="0"/>
    <w:qFormat/>
    <w:pPr>
      <w:ind w:left="840" w:hanging="420"/>
      <w:tabs>
        <w:tab w:val="left" w:pos="840" w:leader="none"/>
      </w:tabs>
    </w:pPr>
    <w:rPr>
      <w:sz w:val="24"/>
    </w:rPr>
  </w:style>
  <w:style w:type="paragraph" w:styleId="1808" w:customStyle="1">
    <w:name w:val="xl25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font14"/>
    <w:basedOn w:val="753"/>
    <w:uiPriority w:val="0"/>
    <w:qFormat/>
    <w:pPr>
      <w:jc w:val="left"/>
      <w:spacing w:before="100" w:beforeAutospacing="1" w:after="100" w:afterAutospacing="1"/>
      <w:widowControl/>
    </w:pPr>
    <w:rPr>
      <w:rFonts w:ascii="宋体" w:hAnsi="宋体" w:cs="宋体"/>
      <w:sz w:val="20"/>
      <w:szCs w:val="20"/>
    </w:rPr>
  </w:style>
  <w:style w:type="paragraph" w:styleId="1810" w:customStyle="1">
    <w:name w:val="font7"/>
    <w:basedOn w:val="753"/>
    <w:uiPriority w:val="0"/>
    <w:qFormat/>
    <w:pPr>
      <w:jc w:val="left"/>
      <w:spacing w:before="100" w:beforeAutospacing="1" w:after="100" w:afterAutospacing="1"/>
      <w:widowControl/>
    </w:pPr>
    <w:rPr>
      <w:rFonts w:eastAsia="Arial Unicode MS"/>
      <w:b/>
      <w:bCs/>
      <w:color w:val="000000"/>
      <w:sz w:val="20"/>
      <w:szCs w:val="20"/>
    </w:rPr>
  </w:style>
  <w:style w:type="paragraph" w:styleId="1811" w:customStyle="1">
    <w:name w:val="xl22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23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TOC 81"/>
    <w:basedOn w:val="753"/>
    <w:next w:val="753"/>
    <w:uiPriority w:val="39"/>
    <w:qFormat/>
    <w:pPr>
      <w:ind w:left="2940"/>
    </w:pPr>
    <w:rPr>
      <w:rFonts w:ascii="Calibri" w:hAnsi="Calibri"/>
      <w:szCs w:val="22"/>
    </w:rPr>
  </w:style>
  <w:style w:type="paragraph" w:styleId="1814" w:customStyle="1">
    <w:name w:val="xl29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customStyle="1">
    <w:name w:val="标准标志"/>
    <w:next w:val="753"/>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16" w:customStyle="1">
    <w:name w:val="xl45"/>
    <w:basedOn w:val="753"/>
    <w:uiPriority w:val="0"/>
    <w:qFormat/>
    <w:pPr>
      <w:jc w:val="left"/>
      <w:spacing w:before="100" w:beforeAutospacing="1" w:after="100" w:afterAutospacing="1"/>
      <w:widowControl/>
    </w:pPr>
    <w:rPr>
      <w:rFonts w:hint="eastAsia" w:ascii="黑体" w:hAnsi="Arial Unicode MS" w:eastAsia="黑体"/>
      <w:b/>
      <w:bCs/>
      <w:sz w:val="24"/>
    </w:rPr>
  </w:style>
  <w:style w:type="paragraph" w:styleId="1817" w:customStyle="1">
    <w:name w:val="xl19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19" w:customStyle="1">
    <w:name w:val="xl15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TOC 标题121"/>
    <w:basedOn w:val="754"/>
    <w:next w:val="75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1" w:customStyle="1">
    <w:name w:val="标准称谓"/>
    <w:next w:val="753"/>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22" w:customStyle="1">
    <w:name w:val="xl17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文本块2"/>
    <w:basedOn w:val="753"/>
    <w:uiPriority w:val="0"/>
    <w:qFormat/>
    <w:pPr>
      <w:ind w:left="630" w:right="630"/>
      <w:jc w:val="center"/>
    </w:pPr>
    <w:rPr>
      <w:rFonts w:ascii="宋体"/>
      <w:b/>
      <w:sz w:val="32"/>
    </w:rPr>
  </w:style>
  <w:style w:type="paragraph" w:styleId="1824" w:customStyle="1">
    <w:name w:val="正文格式"/>
    <w:basedOn w:val="753"/>
    <w:uiPriority w:val="0"/>
    <w:qFormat/>
    <w:pPr>
      <w:ind w:firstLine="482"/>
      <w:spacing w:line="400" w:lineRule="exact"/>
      <w:widowControl/>
    </w:pPr>
    <w:rPr>
      <w:rFonts w:ascii="Arial" w:hAnsi="Arial" w:eastAsia="新宋体"/>
      <w:sz w:val="24"/>
      <w:szCs w:val="20"/>
    </w:rPr>
  </w:style>
  <w:style w:type="paragraph" w:styleId="1825" w:customStyle="1">
    <w:name w:val="xl19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xl19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TOC 41"/>
    <w:basedOn w:val="753"/>
    <w:next w:val="753"/>
    <w:uiPriority w:val="39"/>
    <w:qFormat/>
    <w:pPr>
      <w:ind w:left="1260"/>
    </w:pPr>
    <w:rPr>
      <w:rFonts w:ascii="Calibri" w:hAnsi="Calibri"/>
      <w:szCs w:val="22"/>
    </w:rPr>
  </w:style>
  <w:style w:type="paragraph" w:styleId="1828" w:customStyle="1">
    <w:name w:val="xl26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目次、标准名称标题"/>
    <w:basedOn w:val="1629"/>
    <w:next w:val="809"/>
    <w:uiPriority w:val="0"/>
    <w:qFormat/>
    <w:pPr>
      <w:spacing w:line="460" w:lineRule="exact"/>
    </w:pPr>
  </w:style>
  <w:style w:type="paragraph" w:styleId="1830" w:customStyle="1">
    <w:name w:val="xl6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1" w:customStyle="1">
    <w:name w:val="xl16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xl18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34" w:customStyle="1">
    <w:name w:val="xl4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5" w:customStyle="1">
    <w:name w:val="xl298"/>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xl22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普通正文"/>
    <w:basedOn w:val="753"/>
    <w:uiPriority w:val="0"/>
    <w:qFormat/>
    <w:pPr>
      <w:ind w:firstLine="480"/>
      <w:jc w:val="left"/>
      <w:spacing w:before="120" w:after="120" w:line="360" w:lineRule="auto"/>
    </w:pPr>
    <w:rPr>
      <w:rFonts w:ascii="Arial" w:hAnsi="Arial"/>
      <w:sz w:val="24"/>
    </w:rPr>
  </w:style>
  <w:style w:type="paragraph" w:styleId="1838" w:customStyle="1">
    <w:name w:val="TOC 61"/>
    <w:basedOn w:val="753"/>
    <w:next w:val="753"/>
    <w:uiPriority w:val="39"/>
    <w:qFormat/>
    <w:pPr>
      <w:ind w:left="2100"/>
    </w:pPr>
    <w:rPr>
      <w:rFonts w:ascii="Calibri" w:hAnsi="Calibri"/>
      <w:szCs w:val="22"/>
    </w:rPr>
  </w:style>
  <w:style w:type="paragraph" w:styleId="1839" w:customStyle="1">
    <w:name w:val="xl23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41" w:customStyle="1">
    <w:name w:val="样式 标题 2市检方案标题2第一层条h22章标题节标题第一章 标题 2Heading 2 HiddenHead..."/>
    <w:basedOn w:val="755"/>
    <w:uiPriority w:val="0"/>
    <w:qFormat/>
    <w:pPr>
      <w:jc w:val="left"/>
      <w:spacing w:before="120" w:after="120" w:line="264" w:lineRule="auto"/>
    </w:pPr>
    <w:rPr>
      <w:rFonts w:ascii="楷体_GB2312" w:hAnsi="楷体" w:cs="宋体"/>
      <w:color w:val="000000"/>
      <w:sz w:val="28"/>
      <w:szCs w:val="28"/>
    </w:rPr>
  </w:style>
  <w:style w:type="paragraph" w:styleId="1842" w:customStyle="1">
    <w:name w:val="xl28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Item List in Table"/>
    <w:basedOn w:val="75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4" w:customStyle="1">
    <w:name w:val="Char Char1"/>
    <w:basedOn w:val="753"/>
    <w:uiPriority w:val="99"/>
    <w:semiHidden/>
    <w:qFormat/>
    <w:pPr>
      <w:jc w:val="left"/>
      <w:spacing w:after="160" w:line="240" w:lineRule="exact"/>
      <w:widowControl/>
    </w:pPr>
    <w:rPr>
      <w:rFonts w:ascii="Verdana" w:hAnsi="Verdana"/>
      <w:sz w:val="20"/>
      <w:lang w:eastAsia="en-US"/>
    </w:rPr>
  </w:style>
  <w:style w:type="paragraph" w:styleId="1845" w:customStyle="1">
    <w:name w:val="xl6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6" w:customStyle="1">
    <w:name w:val="日期2"/>
    <w:basedOn w:val="753"/>
    <w:next w:val="753"/>
    <w:uiPriority w:val="0"/>
    <w:qFormat/>
    <w:pPr>
      <w:ind w:left="100"/>
    </w:pPr>
    <w:rPr>
      <w:rFonts w:ascii="仿宋_GB2312" w:eastAsia="仿宋_GB2312"/>
      <w:b/>
      <w:sz w:val="36"/>
    </w:rPr>
  </w:style>
  <w:style w:type="paragraph" w:styleId="1847" w:customStyle="1">
    <w:name w:val="xl33"/>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8" w:customStyle="1">
    <w:name w:val="xl20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xl27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样式4 Char"/>
    <w:basedOn w:val="753"/>
    <w:uiPriority w:val="0"/>
    <w:qFormat/>
    <w:pPr>
      <w:ind w:firstLine="480"/>
      <w:jc w:val="left"/>
      <w:spacing w:line="360" w:lineRule="auto"/>
      <w:widowControl/>
    </w:pPr>
    <w:rPr>
      <w:color w:val="000000"/>
      <w:sz w:val="24"/>
    </w:rPr>
  </w:style>
  <w:style w:type="paragraph" w:styleId="1851" w:customStyle="1">
    <w:name w:val="xl5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2" w:customStyle="1">
    <w:name w:val="xl20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31"/>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97"/>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5" w:customStyle="1">
    <w:name w:val="xl15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22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7" w:customStyle="1">
    <w:name w:val="xl27"/>
    <w:basedOn w:val="753"/>
    <w:uiPriority w:val="0"/>
    <w:qFormat/>
    <w:pPr>
      <w:jc w:val="left"/>
      <w:spacing w:before="100" w:beforeAutospacing="1" w:after="100" w:afterAutospacing="1"/>
      <w:widowControl/>
    </w:pPr>
    <w:rPr>
      <w:rFonts w:ascii="Tahoma" w:hAnsi="Tahoma" w:eastAsia="Arial Unicode MS" w:cs="Tahoma"/>
      <w:sz w:val="16"/>
      <w:szCs w:val="16"/>
    </w:rPr>
  </w:style>
  <w:style w:type="paragraph" w:styleId="1858" w:customStyle="1">
    <w:name w:val="xl26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306"/>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标准书眉_偶数页"/>
    <w:basedOn w:val="1861"/>
    <w:next w:val="753"/>
    <w:uiPriority w:val="0"/>
    <w:qFormat/>
    <w:pPr>
      <w:jc w:val="left"/>
      <w:tabs>
        <w:tab w:val="center" w:pos="4154" w:leader="none"/>
        <w:tab w:val="right" w:pos="8306" w:leader="none"/>
      </w:tabs>
    </w:pPr>
  </w:style>
  <w:style w:type="paragraph" w:styleId="1861" w:customStyle="1">
    <w:name w:val="标准书眉_奇数页"/>
    <w:next w:val="75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62" w:customStyle="1">
    <w:name w:val="xl5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3" w:customStyle="1">
    <w:name w:val="xl19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5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5" w:customStyle="1">
    <w:name w:val="内容标题"/>
    <w:basedOn w:val="753"/>
    <w:uiPriority w:val="0"/>
    <w:qFormat/>
    <w:pPr>
      <w:shd w:val="clear" w:color="auto" w:fill="000080"/>
    </w:pPr>
    <w:rPr>
      <w:rFonts w:ascii="Tahoma" w:hAnsi="Tahoma"/>
      <w:sz w:val="24"/>
      <w:shd w:val="clear" w:color="auto" w:fill="000080"/>
    </w:rPr>
  </w:style>
  <w:style w:type="paragraph" w:styleId="1866" w:customStyle="1">
    <w:name w:val="xl19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23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样式2"/>
    <w:basedOn w:val="753"/>
    <w:uiPriority w:val="0"/>
    <w:qFormat/>
    <w:pPr>
      <w:ind w:left="624" w:hanging="720"/>
    </w:pPr>
    <w:rPr>
      <w:rFonts w:ascii="黑体" w:eastAsia="黑体"/>
      <w:b/>
      <w:sz w:val="30"/>
    </w:rPr>
  </w:style>
  <w:style w:type="paragraph" w:styleId="1869" w:customStyle="1">
    <w:name w:val="xl16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xl14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默认段落字体 Para Char Char Char Char Char Char Char"/>
    <w:basedOn w:val="753"/>
    <w:uiPriority w:val="0"/>
    <w:qFormat/>
    <w:pPr>
      <w:ind w:left="200"/>
      <w:jc w:val="left"/>
      <w:spacing w:line="360" w:lineRule="auto"/>
    </w:pPr>
    <w:rPr>
      <w:rFonts w:ascii="宋体" w:hAnsi="宋体"/>
      <w:color w:val="000000"/>
      <w:sz w:val="24"/>
      <w:szCs w:val="20"/>
    </w:rPr>
  </w:style>
  <w:style w:type="paragraph" w:styleId="1872" w:customStyle="1">
    <w:name w:val="xl14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customStyle="1">
    <w:name w:val="xl76"/>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4" w:customStyle="1">
    <w:name w:val="xl18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表格文字"/>
    <w:basedOn w:val="753"/>
    <w:uiPriority w:val="0"/>
    <w:qFormat/>
    <w:pPr>
      <w:jc w:val="center"/>
      <w:tabs>
        <w:tab w:val="left" w:pos="7740" w:leader="none"/>
      </w:tabs>
    </w:pPr>
    <w:rPr>
      <w:rFonts w:ascii="宋体" w:hAnsi="宋体"/>
      <w:sz w:val="24"/>
      <w:szCs w:val="20"/>
    </w:rPr>
  </w:style>
  <w:style w:type="paragraph" w:styleId="1876" w:customStyle="1">
    <w:name w:val="xl21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19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表格文本"/>
    <w:basedOn w:val="753"/>
    <w:uiPriority w:val="0"/>
    <w:qFormat/>
    <w:pPr>
      <w:jc w:val="left"/>
      <w:tabs>
        <w:tab w:val="decimal" w:pos="0" w:leader="none"/>
      </w:tabs>
    </w:pPr>
    <w:rPr>
      <w:rFonts w:ascii="Arial" w:hAnsi="Arial"/>
      <w:szCs w:val="21"/>
    </w:rPr>
  </w:style>
  <w:style w:type="paragraph" w:styleId="1879" w:customStyle="1">
    <w:name w:val="xl30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81" w:customStyle="1">
    <w:name w:val="xl17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tabletext"/>
    <w:basedOn w:val="753"/>
    <w:uiPriority w:val="0"/>
    <w:qFormat/>
    <w:pPr>
      <w:jc w:val="left"/>
      <w:spacing w:before="100" w:beforeAutospacing="1" w:after="100" w:afterAutospacing="1" w:line="284" w:lineRule="atLeast"/>
      <w:widowControl/>
    </w:pPr>
    <w:rPr>
      <w:rFonts w:ascii="宋体" w:hAnsi="宋体" w:cs="宋体"/>
      <w:szCs w:val="21"/>
    </w:rPr>
  </w:style>
  <w:style w:type="paragraph" w:styleId="1883" w:customStyle="1">
    <w:name w:val="xl24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Style First line:  2 ch"/>
    <w:basedOn w:val="753"/>
    <w:uiPriority w:val="0"/>
    <w:qFormat/>
    <w:pPr>
      <w:ind w:firstLine="200"/>
      <w:spacing w:line="440" w:lineRule="exact"/>
    </w:pPr>
    <w:rPr>
      <w:sz w:val="24"/>
    </w:rPr>
  </w:style>
  <w:style w:type="paragraph" w:styleId="1885" w:customStyle="1">
    <w:name w:val="xl16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正文４"/>
    <w:basedOn w:val="753"/>
    <w:uiPriority w:val="0"/>
    <w:qFormat/>
    <w:pPr>
      <w:ind w:firstLine="480"/>
      <w:spacing w:line="360" w:lineRule="auto"/>
    </w:pPr>
    <w:rPr>
      <w:sz w:val="24"/>
      <w:szCs w:val="20"/>
    </w:rPr>
  </w:style>
  <w:style w:type="paragraph" w:styleId="1887" w:customStyle="1">
    <w:name w:val="普通(网站)1"/>
    <w:basedOn w:val="753"/>
    <w:uiPriority w:val="0"/>
    <w:qFormat/>
    <w:pPr>
      <w:jc w:val="left"/>
      <w:spacing w:before="100" w:beforeAutospacing="1" w:after="100" w:afterAutospacing="1"/>
      <w:widowControl/>
    </w:pPr>
    <w:rPr>
      <w:rFonts w:ascii="宋体" w:hAnsi="宋体" w:cs="宋体"/>
      <w:color w:val="000000"/>
      <w:sz w:val="24"/>
    </w:rPr>
  </w:style>
  <w:style w:type="paragraph" w:styleId="1888" w:customStyle="1">
    <w:name w:val="图表脚注"/>
    <w:next w:val="809"/>
    <w:uiPriority w:val="0"/>
    <w:qFormat/>
    <w:pPr>
      <w:ind w:left="300" w:hanging="100"/>
      <w:jc w:val="both"/>
    </w:pPr>
    <w:rPr>
      <w:rFonts w:ascii="宋体" w:hAnsi="Times New Roman" w:eastAsia="宋体" w:cs="Times New Roman"/>
      <w:sz w:val="18"/>
      <w:lang w:val="en-US" w:eastAsia="zh-CN" w:bidi="ar-SA"/>
    </w:rPr>
  </w:style>
  <w:style w:type="paragraph" w:styleId="1889" w:customStyle="1">
    <w:name w:val="列出段落121"/>
    <w:basedOn w:val="753"/>
    <w:uiPriority w:val="99"/>
    <w:qFormat/>
    <w:pPr>
      <w:ind w:firstLine="420"/>
    </w:pPr>
  </w:style>
  <w:style w:type="paragraph" w:styleId="1890" w:customStyle="1">
    <w:name w:val="无标题条"/>
    <w:next w:val="809"/>
    <w:uiPriority w:val="0"/>
    <w:qFormat/>
    <w:pPr>
      <w:jc w:val="both"/>
    </w:pPr>
    <w:rPr>
      <w:rFonts w:ascii="Times New Roman" w:hAnsi="Times New Roman" w:eastAsia="宋体" w:cs="Times New Roman"/>
      <w:sz w:val="21"/>
      <w:lang w:val="en-US" w:eastAsia="zh-CN" w:bidi="ar-SA"/>
    </w:rPr>
  </w:style>
  <w:style w:type="paragraph" w:styleId="1891" w:customStyle="1">
    <w:name w:val="xl177"/>
    <w:basedOn w:val="7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注示头"/>
    <w:basedOn w:val="753"/>
    <w:uiPriority w:val="0"/>
    <w:qFormat/>
    <w:pPr>
      <w:pBdr>
        <w:top w:val="single" w:color="000000" w:sz="4" w:space="1"/>
      </w:pBdr>
    </w:pPr>
    <w:rPr>
      <w:rFonts w:ascii="Arial" w:hAnsi="Arial" w:eastAsia="黑体"/>
      <w:sz w:val="18"/>
      <w:szCs w:val="20"/>
    </w:rPr>
  </w:style>
  <w:style w:type="paragraph" w:styleId="1893" w:customStyle="1">
    <w:name w:val="xl20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95" w:customStyle="1">
    <w:name w:val="xl25"/>
    <w:basedOn w:val="7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6" w:customStyle="1">
    <w:name w:val="xl23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5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8" w:customStyle="1">
    <w:name w:val="DLP3.4.4"/>
    <w:basedOn w:val="753"/>
    <w:uiPriority w:val="0"/>
    <w:qFormat/>
    <w:pPr>
      <w:ind w:left="1069" w:hanging="709"/>
      <w:keepLines/>
      <w:keepNext/>
      <w:spacing w:before="260" w:after="260" w:line="416" w:lineRule="auto"/>
      <w:tabs>
        <w:tab w:val="left" w:pos="1069" w:leader="none"/>
      </w:tabs>
      <w:outlineLvl w:val="2"/>
    </w:pPr>
    <w:rPr>
      <w:b/>
      <w:sz w:val="30"/>
    </w:rPr>
  </w:style>
  <w:style w:type="paragraph" w:styleId="189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00" w:customStyle="1">
    <w:name w:val="纯文本1"/>
    <w:basedOn w:val="753"/>
    <w:link w:val="1901"/>
    <w:uiPriority w:val="0"/>
    <w:qFormat/>
    <w:rPr>
      <w:rFonts w:ascii="宋体" w:hAnsi="Courier New"/>
      <w:szCs w:val="21"/>
      <w:lang w:eastAsia="en-US"/>
    </w:rPr>
  </w:style>
  <w:style w:type="character" w:styleId="1901" w:customStyle="1">
    <w:name w:val="纯文本 Char1"/>
    <w:link w:val="1900"/>
    <w:uiPriority w:val="0"/>
    <w:qFormat/>
    <w:rPr>
      <w:rFonts w:ascii="宋体" w:hAnsi="Courier New"/>
      <w:sz w:val="21"/>
      <w:szCs w:val="21"/>
    </w:rPr>
  </w:style>
  <w:style w:type="paragraph" w:styleId="1902" w:customStyle="1">
    <w:name w:val="列出段落2"/>
    <w:basedOn w:val="753"/>
    <w:uiPriority w:val="0"/>
    <w:qFormat/>
    <w:pPr>
      <w:ind w:firstLine="420"/>
    </w:pPr>
    <w:rPr>
      <w:rFonts w:ascii="Calibri" w:hAnsi="Calibri" w:eastAsia="仿宋_GB2312"/>
      <w:sz w:val="24"/>
      <w:szCs w:val="22"/>
    </w:rPr>
  </w:style>
  <w:style w:type="paragraph" w:styleId="1903" w:customStyle="1">
    <w:name w:val="图5"/>
    <w:basedOn w:val="753"/>
    <w:uiPriority w:val="0"/>
    <w:qFormat/>
    <w:pPr>
      <w:jc w:val="center"/>
      <w:spacing w:line="220" w:lineRule="exact"/>
    </w:pPr>
    <w:rPr>
      <w:rFonts w:ascii="仿宋_GB2312" w:eastAsia="仿宋_GB2312"/>
      <w:szCs w:val="20"/>
    </w:rPr>
  </w:style>
  <w:style w:type="paragraph" w:styleId="190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05" w:customStyle="1">
    <w:name w:val="xl70"/>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6" w:customStyle="1">
    <w:name w:val="xl16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正文缩进2"/>
    <w:basedOn w:val="753"/>
    <w:uiPriority w:val="0"/>
    <w:qFormat/>
    <w:pPr>
      <w:ind w:firstLine="420"/>
    </w:pPr>
    <w:rPr>
      <w:szCs w:val="20"/>
    </w:rPr>
  </w:style>
  <w:style w:type="paragraph" w:styleId="1908" w:customStyle="1">
    <w:name w:val="xl176"/>
    <w:basedOn w:val="7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xl15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0" w:customStyle="1">
    <w:name w:val="xl15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6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2" w:customStyle="1">
    <w:name w:val="xl23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xl266"/>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Heading 1 前言"/>
    <w:next w:val="753"/>
    <w:uiPriority w:val="0"/>
    <w:qFormat/>
    <w:pPr>
      <w:jc w:val="center"/>
    </w:pPr>
    <w:rPr>
      <w:rFonts w:ascii="黑体" w:hAnsi="黑体" w:eastAsia="黑体" w:cs="Times New Roman"/>
      <w:b/>
      <w:bCs/>
      <w:sz w:val="32"/>
      <w:lang w:val="en-US" w:eastAsia="zh-CN" w:bidi="ar-SA"/>
    </w:rPr>
  </w:style>
  <w:style w:type="paragraph" w:styleId="1915" w:customStyle="1">
    <w:name w:val="xl28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6" w:customStyle="1">
    <w:name w:val="xl7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7" w:customStyle="1">
    <w:name w:val="列表1"/>
    <w:basedOn w:val="753"/>
    <w:uiPriority w:val="0"/>
    <w:qFormat/>
    <w:pPr>
      <w:ind w:left="200" w:hanging="200"/>
    </w:pPr>
  </w:style>
  <w:style w:type="paragraph" w:styleId="1918" w:customStyle="1">
    <w:name w:val="xl28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26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Char1 Char Char Char11"/>
    <w:basedOn w:val="753"/>
    <w:uiPriority w:val="0"/>
    <w:qFormat/>
    <w:rPr>
      <w:rFonts w:ascii="Tahoma" w:hAnsi="Tahoma"/>
      <w:sz w:val="24"/>
      <w:szCs w:val="20"/>
    </w:rPr>
  </w:style>
  <w:style w:type="paragraph" w:styleId="1921" w:customStyle="1">
    <w:name w:val="xl308"/>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2" w:customStyle="1">
    <w:name w:val="日期1"/>
    <w:basedOn w:val="753"/>
    <w:next w:val="753"/>
    <w:uiPriority w:val="0"/>
    <w:qFormat/>
    <w:pPr>
      <w:jc w:val="right"/>
      <w:spacing w:line="312" w:lineRule="atLeast"/>
    </w:pPr>
    <w:rPr>
      <w:rFonts w:ascii="黑体" w:eastAsia="黑体"/>
      <w:b/>
      <w:sz w:val="32"/>
      <w:szCs w:val="20"/>
    </w:rPr>
  </w:style>
  <w:style w:type="paragraph" w:styleId="1923" w:customStyle="1">
    <w:name w:val="xl317"/>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Char"/>
    <w:basedOn w:val="753"/>
    <w:uiPriority w:val="99"/>
    <w:qFormat/>
    <w:pPr>
      <w:spacing w:line="360" w:lineRule="auto"/>
    </w:pPr>
    <w:rPr>
      <w:sz w:val="24"/>
      <w:szCs w:val="20"/>
    </w:rPr>
  </w:style>
  <w:style w:type="paragraph" w:styleId="1925" w:customStyle="1">
    <w:name w:val="文档结构图1"/>
    <w:basedOn w:val="753"/>
    <w:uiPriority w:val="0"/>
    <w:qFormat/>
    <w:rPr>
      <w:rFonts w:ascii="宋体"/>
      <w:sz w:val="18"/>
      <w:szCs w:val="18"/>
    </w:rPr>
  </w:style>
  <w:style w:type="paragraph" w:styleId="1926" w:customStyle="1">
    <w:name w:val="表格正文"/>
    <w:basedOn w:val="753"/>
    <w:uiPriority w:val="0"/>
    <w:qFormat/>
    <w:pPr>
      <w:jc w:val="center"/>
    </w:pPr>
    <w:rPr>
      <w:rFonts w:eastAsia="仿宋_GB2312"/>
    </w:rPr>
  </w:style>
  <w:style w:type="paragraph" w:styleId="1927" w:customStyle="1">
    <w:name w:val="xl54"/>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8" w:customStyle="1">
    <w:name w:val="xl205"/>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9" w:customStyle="1">
    <w:name w:val="xl30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0" w:customStyle="1">
    <w:name w:val="Birdseed"/>
    <w:basedOn w:val="753"/>
    <w:uiPriority w:val="0"/>
    <w:qFormat/>
    <w:pPr>
      <w:jc w:val="left"/>
      <w:widowControl/>
    </w:pPr>
    <w:rPr>
      <w:rFonts w:ascii="Palatino Linotype" w:hAnsi="Palatino Linotype"/>
      <w:sz w:val="18"/>
      <w:szCs w:val="20"/>
    </w:rPr>
  </w:style>
  <w:style w:type="paragraph" w:styleId="1931" w:customStyle="1">
    <w:name w:val="TOC 91"/>
    <w:basedOn w:val="753"/>
    <w:next w:val="753"/>
    <w:uiPriority w:val="39"/>
    <w:qFormat/>
    <w:pPr>
      <w:ind w:left="3360"/>
    </w:pPr>
    <w:rPr>
      <w:rFonts w:ascii="Calibri" w:hAnsi="Calibri"/>
      <w:szCs w:val="22"/>
    </w:rPr>
  </w:style>
  <w:style w:type="paragraph" w:styleId="1932" w:customStyle="1">
    <w:name w:val="xl24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xl65"/>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4" w:customStyle="1">
    <w:name w:val="xl15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正文--表格内正文"/>
    <w:basedOn w:val="753"/>
    <w:uiPriority w:val="0"/>
    <w:qFormat/>
    <w:pPr>
      <w:jc w:val="center"/>
      <w:spacing w:line="0" w:lineRule="atLeast"/>
    </w:pPr>
    <w:rPr>
      <w:rFonts w:ascii="宋体" w:hAnsi="宋体"/>
      <w:sz w:val="24"/>
    </w:rPr>
  </w:style>
  <w:style w:type="paragraph" w:styleId="1936" w:customStyle="1">
    <w:name w:val="xl26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样式 行距: 1.5 倍行距"/>
    <w:basedOn w:val="753"/>
    <w:uiPriority w:val="0"/>
    <w:qFormat/>
    <w:pPr>
      <w:spacing w:line="360" w:lineRule="auto"/>
    </w:pPr>
    <w:rPr>
      <w:rFonts w:ascii="宋体" w:hAnsi="宋体"/>
      <w:bCs/>
      <w:sz w:val="28"/>
      <w:szCs w:val="20"/>
    </w:rPr>
  </w:style>
  <w:style w:type="paragraph" w:styleId="1938" w:customStyle="1">
    <w:name w:val="正文首行缩进2"/>
    <w:basedOn w:val="753"/>
    <w:uiPriority w:val="0"/>
    <w:qFormat/>
    <w:pPr>
      <w:ind w:firstLine="420"/>
      <w:spacing w:line="360" w:lineRule="auto"/>
    </w:pPr>
    <w:rPr>
      <w:rFonts w:ascii="Arial" w:hAnsi="Arial"/>
      <w:sz w:val="20"/>
      <w:szCs w:val="21"/>
    </w:rPr>
  </w:style>
  <w:style w:type="paragraph" w:styleId="1939" w:customStyle="1">
    <w:name w:val="Table Paragraph"/>
    <w:basedOn w:val="753"/>
    <w:uiPriority w:val="0"/>
    <w:qFormat/>
    <w:pPr>
      <w:jc w:val="left"/>
    </w:pPr>
    <w:rPr>
      <w:rFonts w:ascii="Calibri" w:hAnsi="Calibri" w:cs="黑体"/>
      <w:sz w:val="22"/>
      <w:szCs w:val="22"/>
      <w:lang w:eastAsia="en-US"/>
    </w:rPr>
  </w:style>
  <w:style w:type="paragraph" w:styleId="1940" w:customStyle="1">
    <w:name w:val="列出段落4"/>
    <w:basedOn w:val="753"/>
    <w:uiPriority w:val="0"/>
    <w:qFormat/>
    <w:pPr>
      <w:ind w:firstLine="420"/>
    </w:pPr>
    <w:rPr>
      <w:rFonts w:ascii="Calibri" w:hAnsi="Calibri"/>
      <w:szCs w:val="22"/>
    </w:rPr>
  </w:style>
  <w:style w:type="paragraph" w:styleId="1941" w:customStyle="1">
    <w:name w:val="其他发布部门"/>
    <w:basedOn w:val="1942"/>
    <w:uiPriority w:val="0"/>
    <w:qFormat/>
    <w:pPr>
      <w:spacing w:line="0" w:lineRule="atLeast"/>
      <w:framePr w:wrap="around"/>
    </w:pPr>
    <w:rPr>
      <w:rFonts w:ascii="黑体" w:eastAsia="黑体"/>
      <w:b w:val="0"/>
    </w:rPr>
  </w:style>
  <w:style w:type="paragraph" w:styleId="1942" w:customStyle="1">
    <w:name w:val="发布部门"/>
    <w:next w:val="809"/>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43" w:customStyle="1">
    <w:name w:val="xl103"/>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4" w:customStyle="1">
    <w:name w:val="二级无标题条"/>
    <w:basedOn w:val="753"/>
    <w:uiPriority w:val="0"/>
    <w:qFormat/>
    <w:pPr>
      <w:ind w:hanging="420"/>
    </w:pPr>
  </w:style>
  <w:style w:type="paragraph" w:styleId="1945" w:customStyle="1">
    <w:name w:val="表格文字1"/>
    <w:basedOn w:val="753"/>
    <w:uiPriority w:val="0"/>
    <w:qFormat/>
    <w:pPr>
      <w:jc w:val="center"/>
    </w:pPr>
    <w:rPr>
      <w:rFonts w:ascii="宋体" w:hAnsi="宋体"/>
      <w:szCs w:val="21"/>
      <w:shd w:val="clear" w:color="auto" w:fill="ffffff"/>
    </w:rPr>
  </w:style>
  <w:style w:type="paragraph" w:styleId="1946" w:customStyle="1">
    <w:name w:val="xl16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xl31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正文文本缩进2"/>
    <w:basedOn w:val="753"/>
    <w:uiPriority w:val="0"/>
    <w:qFormat/>
    <w:pPr>
      <w:ind w:firstLine="645"/>
    </w:pPr>
    <w:rPr>
      <w:rFonts w:ascii="楷体_GB2312" w:eastAsia="楷体_GB2312"/>
      <w:sz w:val="32"/>
      <w:szCs w:val="20"/>
    </w:rPr>
  </w:style>
  <w:style w:type="paragraph" w:styleId="1949" w:customStyle="1">
    <w:name w:val="xl22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51" w:customStyle="1">
    <w:name w:val="xl31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2" w:customStyle="1">
    <w:name w:val="xl14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一级无标题条"/>
    <w:basedOn w:val="753"/>
    <w:uiPriority w:val="0"/>
    <w:qFormat/>
    <w:pPr>
      <w:ind w:left="3420" w:hanging="420"/>
    </w:pPr>
  </w:style>
  <w:style w:type="paragraph" w:styleId="1954" w:customStyle="1">
    <w:name w:val="xl27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customStyle="1">
    <w:name w:val="_Style 6"/>
    <w:basedOn w:val="753"/>
    <w:uiPriority w:val="34"/>
    <w:qFormat/>
    <w:pPr>
      <w:ind w:firstLine="420"/>
    </w:pPr>
  </w:style>
  <w:style w:type="paragraph" w:styleId="1956" w:customStyle="1">
    <w:name w:val="列出段落12"/>
    <w:basedOn w:val="753"/>
    <w:uiPriority w:val="0"/>
    <w:qFormat/>
    <w:pPr>
      <w:ind w:firstLine="420"/>
    </w:pPr>
  </w:style>
  <w:style w:type="paragraph" w:styleId="1957" w:customStyle="1">
    <w:name w:val="样式 首行缩进:  0 字符"/>
    <w:basedOn w:val="753"/>
    <w:uiPriority w:val="0"/>
    <w:qFormat/>
    <w:pPr>
      <w:ind w:firstLine="200"/>
      <w:spacing w:line="360" w:lineRule="auto"/>
    </w:pPr>
    <w:rPr>
      <w:rFonts w:cs="宋体"/>
      <w:sz w:val="24"/>
      <w:szCs w:val="20"/>
    </w:rPr>
  </w:style>
  <w:style w:type="paragraph" w:styleId="1958" w:customStyle="1">
    <w:name w:val="xl137"/>
    <w:basedOn w:val="7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59" w:customStyle="1">
    <w:name w:val="xl105"/>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0" w:customStyle="1">
    <w:name w:val="xl178"/>
    <w:basedOn w:val="753"/>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xl139"/>
    <w:basedOn w:val="7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2" w:customStyle="1">
    <w:name w:val="xl10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3" w:customStyle="1">
    <w:name w:val="正文段"/>
    <w:basedOn w:val="753"/>
    <w:uiPriority w:val="0"/>
    <w:qFormat/>
    <w:pPr>
      <w:ind w:firstLine="454"/>
      <w:spacing w:after="240" w:line="360" w:lineRule="atLeast"/>
      <w:widowControl/>
    </w:pPr>
    <w:rPr>
      <w:rFonts w:ascii="宋体"/>
      <w:sz w:val="24"/>
      <w:szCs w:val="20"/>
    </w:rPr>
  </w:style>
  <w:style w:type="paragraph" w:styleId="1964" w:customStyle="1">
    <w:name w:val="xl22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14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6" w:customStyle="1">
    <w:name w:val="xl10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7" w:customStyle="1">
    <w:name w:val="文档正文"/>
    <w:basedOn w:val="753"/>
    <w:uiPriority w:val="99"/>
    <w:qFormat/>
    <w:pPr>
      <w:ind w:firstLine="567"/>
      <w:spacing w:line="312" w:lineRule="atLeast"/>
    </w:pPr>
    <w:rPr>
      <w:rFonts w:ascii="长城仿宋" w:eastAsia="长城仿宋"/>
      <w:sz w:val="28"/>
      <w:szCs w:val="20"/>
    </w:rPr>
  </w:style>
  <w:style w:type="paragraph" w:styleId="1968" w:customStyle="1">
    <w:name w:val="Char Char 字元 字元 字元 Char Char Char Char"/>
    <w:basedOn w:val="753"/>
    <w:uiPriority w:val="99"/>
    <w:unhideWhenUsed/>
    <w:qFormat/>
    <w:pPr>
      <w:spacing w:line="360" w:lineRule="auto"/>
    </w:pPr>
    <w:rPr>
      <w:rFonts w:hint="eastAsia"/>
    </w:rPr>
  </w:style>
  <w:style w:type="paragraph" w:styleId="1969" w:customStyle="1">
    <w:name w:val="xl21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141"/>
    <w:basedOn w:val="7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1" w:customStyle="1">
    <w:name w:val="xl109"/>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2" w:customStyle="1">
    <w:name w:val="xl7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3" w:customStyle="1">
    <w:name w:val="xl11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customStyle="1">
    <w:name w:val="xl7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11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80"/>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11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xl8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9" w:customStyle="1">
    <w:name w:val="xl20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技术方案正文样式"/>
    <w:basedOn w:val="753"/>
    <w:uiPriority w:val="0"/>
    <w:qFormat/>
    <w:pPr>
      <w:ind w:firstLine="480"/>
      <w:spacing w:line="400" w:lineRule="exact"/>
    </w:pPr>
    <w:rPr>
      <w:rFonts w:ascii="宋体" w:hAnsi="宋体" w:cs="宋体"/>
      <w:sz w:val="24"/>
      <w:szCs w:val="21"/>
    </w:rPr>
  </w:style>
  <w:style w:type="paragraph" w:styleId="1981" w:customStyle="1">
    <w:name w:val="xl114"/>
    <w:basedOn w:val="7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8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3" w:customStyle="1">
    <w:name w:val="xl231"/>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4" w:customStyle="1">
    <w:name w:val="xl11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xl83"/>
    <w:basedOn w:val="7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6" w:customStyle="1">
    <w:name w:val="xl24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11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8" w:customStyle="1">
    <w:name w:val="xl8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23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xl11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1" w:customStyle="1">
    <w:name w:val="xl85"/>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2" w:customStyle="1">
    <w:name w:val="xl18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Char Char2 Char"/>
    <w:basedOn w:val="753"/>
    <w:uiPriority w:val="0"/>
    <w:qFormat/>
    <w:pPr>
      <w:ind w:left="390" w:hanging="390"/>
      <w:keepLines/>
      <w:keepNext/>
      <w:pageBreakBefore/>
      <w:tabs>
        <w:tab w:val="left" w:pos="390" w:leader="none"/>
      </w:tabs>
    </w:pPr>
    <w:rPr>
      <w:szCs w:val="20"/>
    </w:rPr>
  </w:style>
  <w:style w:type="paragraph" w:styleId="1994" w:customStyle="1">
    <w:name w:val="xl11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xl86"/>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6" w:customStyle="1">
    <w:name w:val="xl27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1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xl87"/>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9" w:customStyle="1">
    <w:name w:val="xl21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样式 首行缩进:  2.25 字符"/>
    <w:basedOn w:val="753"/>
    <w:uiPriority w:val="0"/>
    <w:qFormat/>
    <w:pPr>
      <w:ind w:firstLine="225"/>
      <w:spacing w:line="360" w:lineRule="auto"/>
    </w:pPr>
    <w:rPr>
      <w:rFonts w:cs="宋体"/>
      <w:sz w:val="24"/>
      <w:szCs w:val="20"/>
    </w:rPr>
  </w:style>
  <w:style w:type="paragraph" w:styleId="2001" w:customStyle="1">
    <w:name w:val="xl12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88"/>
    <w:basedOn w:val="7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3" w:customStyle="1">
    <w:name w:val="xl25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4" w:customStyle="1">
    <w:name w:val="xl12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5" w:customStyle="1">
    <w:name w:val="xl8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一级标题"/>
    <w:basedOn w:val="754"/>
    <w:uiPriority w:val="0"/>
    <w:qFormat/>
    <w:pPr>
      <w:jc w:val="center"/>
      <w:keepNext w:val="0"/>
      <w:spacing w:line="360" w:lineRule="auto"/>
    </w:pPr>
    <w:rPr>
      <w:rFonts w:ascii="宋体" w:hAnsi="宋体" w:eastAsia="宋体"/>
      <w:b/>
      <w:sz w:val="32"/>
      <w:szCs w:val="28"/>
    </w:rPr>
  </w:style>
  <w:style w:type="paragraph" w:styleId="2007" w:customStyle="1">
    <w:name w:val="xl12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8" w:customStyle="1">
    <w:name w:val="xl90"/>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9" w:customStyle="1">
    <w:name w:val="二级标题"/>
    <w:basedOn w:val="75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0" w:customStyle="1">
    <w:name w:val="xl123"/>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1" w:customStyle="1">
    <w:name w:val="xl91"/>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04-标书-标题4"/>
    <w:basedOn w:val="75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3" w:customStyle="1">
    <w:name w:val="xl124"/>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customStyle="1">
    <w:name w:val="xl92"/>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5" w:customStyle="1">
    <w:name w:val="xl12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6" w:customStyle="1">
    <w:name w:val="xl9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xl1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8" w:customStyle="1">
    <w:name w:val="xl94"/>
    <w:basedOn w:val="75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9" w:customStyle="1">
    <w:name w:val="xl12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0" w:customStyle="1">
    <w:name w:val="xl9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xl1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9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xl12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9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缺省文本"/>
    <w:basedOn w:val="753"/>
    <w:uiPriority w:val="0"/>
    <w:qFormat/>
    <w:pPr>
      <w:ind w:firstLine="200"/>
      <w:jc w:val="left"/>
      <w:spacing w:line="360" w:lineRule="auto"/>
    </w:pPr>
    <w:rPr>
      <w:sz w:val="24"/>
    </w:rPr>
  </w:style>
  <w:style w:type="paragraph" w:styleId="2026" w:customStyle="1">
    <w:name w:val="xl13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7" w:customStyle="1">
    <w:name w:val="xl9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reader-word-layer"/>
    <w:basedOn w:val="753"/>
    <w:uiPriority w:val="0"/>
    <w:qFormat/>
    <w:pPr>
      <w:jc w:val="left"/>
      <w:spacing w:before="100" w:beforeAutospacing="1" w:after="100" w:afterAutospacing="1"/>
      <w:widowControl/>
    </w:pPr>
    <w:rPr>
      <w:rFonts w:ascii="宋体" w:hAnsi="宋体" w:cs="宋体"/>
      <w:sz w:val="24"/>
    </w:rPr>
  </w:style>
  <w:style w:type="paragraph" w:styleId="2029" w:customStyle="1">
    <w:name w:val="xl131"/>
    <w:basedOn w:val="753"/>
    <w:uiPriority w:val="0"/>
    <w:qFormat/>
    <w:pPr>
      <w:jc w:val="left"/>
      <w:spacing w:before="100" w:beforeAutospacing="1" w:after="100" w:afterAutospacing="1"/>
      <w:widowControl/>
    </w:pPr>
    <w:rPr>
      <w:rFonts w:ascii="宋体" w:hAnsi="宋体" w:cs="宋体"/>
      <w:sz w:val="24"/>
    </w:rPr>
  </w:style>
  <w:style w:type="paragraph" w:styleId="2030" w:customStyle="1">
    <w:name w:val="xl9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xl13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00"/>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3" w:customStyle="1">
    <w:name w:val="xl133"/>
    <w:basedOn w:val="7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xl101"/>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正文 首行缩进:  2 字符 Char"/>
    <w:basedOn w:val="753"/>
    <w:uiPriority w:val="0"/>
    <w:qFormat/>
    <w:pPr>
      <w:ind w:firstLine="480"/>
      <w:spacing w:line="360" w:lineRule="auto"/>
    </w:pPr>
    <w:rPr>
      <w:rFonts w:cs="宋体"/>
      <w:sz w:val="24"/>
      <w:szCs w:val="20"/>
    </w:rPr>
  </w:style>
  <w:style w:type="paragraph" w:styleId="2036" w:customStyle="1">
    <w:name w:val="xl134"/>
    <w:basedOn w:val="7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7" w:customStyle="1">
    <w:name w:val="xl102"/>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8" w:customStyle="1">
    <w:name w:val="xl136"/>
    <w:basedOn w:val="7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9" w:customStyle="1">
    <w:name w:val="xl104"/>
    <w:basedOn w:val="753"/>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0" w:customStyle="1">
    <w:name w:val="xl24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138"/>
    <w:basedOn w:val="753"/>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2" w:customStyle="1">
    <w:name w:val="xl10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customStyle="1">
    <w:name w:val="xl17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_Style 1"/>
    <w:basedOn w:val="753"/>
    <w:uiPriority w:val="99"/>
    <w:qFormat/>
    <w:pPr>
      <w:ind w:firstLine="420"/>
      <w:jc w:val="left"/>
      <w:spacing w:line="400" w:lineRule="exact"/>
    </w:pPr>
    <w:rPr>
      <w:rFonts w:ascii="Calibri" w:hAnsi="Calibri" w:eastAsia="仿宋_GB2312"/>
      <w:sz w:val="24"/>
      <w:szCs w:val="22"/>
    </w:rPr>
  </w:style>
  <w:style w:type="paragraph" w:styleId="2045" w:customStyle="1">
    <w:name w:val="xl110"/>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28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7" w:customStyle="1">
    <w:name w:val="xl135"/>
    <w:basedOn w:val="753"/>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8" w:customStyle="1">
    <w:name w:val="xl18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50" w:customStyle="1">
    <w:name w:val="表头"/>
    <w:basedOn w:val="753"/>
    <w:uiPriority w:val="0"/>
    <w:qFormat/>
    <w:pPr>
      <w:jc w:val="center"/>
      <w:spacing w:line="360" w:lineRule="auto"/>
    </w:pPr>
    <w:rPr>
      <w:rFonts w:ascii="Calibri" w:hAnsi="Calibri" w:cs="宋体"/>
      <w:b/>
      <w:bCs/>
      <w:color w:val="000000"/>
      <w:szCs w:val="20"/>
    </w:rPr>
  </w:style>
  <w:style w:type="paragraph" w:styleId="2051" w:customStyle="1">
    <w:name w:val="样式 标题 2标题 2 Char Char子子系统子系统1子系统2子系统3子系统4子系统11子系统21子系统..."/>
    <w:basedOn w:val="755"/>
    <w:uiPriority w:val="0"/>
    <w:qFormat/>
    <w:pPr>
      <w:ind w:left="786" w:hanging="360"/>
      <w:jc w:val="both"/>
      <w:spacing w:before="0" w:after="0" w:line="240" w:lineRule="auto"/>
      <w:tabs>
        <w:tab w:val="left" w:pos="360" w:leader="none"/>
      </w:tabs>
    </w:pPr>
    <w:rPr>
      <w:rFonts w:ascii="Arial" w:eastAsia="黑体"/>
      <w:sz w:val="30"/>
    </w:rPr>
  </w:style>
  <w:style w:type="paragraph" w:styleId="2052" w:customStyle="1">
    <w:name w:val="居中图片"/>
    <w:basedOn w:val="753"/>
    <w:uiPriority w:val="0"/>
    <w:qFormat/>
    <w:pPr>
      <w:jc w:val="center"/>
    </w:pPr>
    <w:rPr>
      <w:rFonts w:ascii="Calibri" w:hAnsi="Calibri" w:eastAsia="仿宋"/>
      <w:sz w:val="28"/>
      <w:szCs w:val="21"/>
    </w:rPr>
  </w:style>
  <w:style w:type="paragraph" w:styleId="2053" w:customStyle="1">
    <w:name w:val="01-标书-标题1"/>
    <w:next w:val="753"/>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5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5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56" w:customStyle="1">
    <w:name w:val="xl304"/>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7" w:customStyle="1">
    <w:name w:val="正文文本缩进 32"/>
    <w:basedOn w:val="753"/>
    <w:uiPriority w:val="0"/>
    <w:qFormat/>
    <w:pPr>
      <w:ind w:left="520" w:firstLine="425"/>
      <w:jc w:val="center"/>
    </w:pPr>
    <w:rPr>
      <w:rFonts w:ascii="方正行楷简体" w:hAnsi="Arial" w:eastAsia="方正行楷简体"/>
      <w:sz w:val="36"/>
      <w:szCs w:val="20"/>
    </w:rPr>
  </w:style>
  <w:style w:type="paragraph" w:styleId="2058" w:customStyle="1">
    <w:name w:val="xl202"/>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正文文本缩进 21"/>
    <w:basedOn w:val="753"/>
    <w:uiPriority w:val="0"/>
    <w:qFormat/>
    <w:pPr>
      <w:ind w:firstLine="560"/>
      <w:spacing w:line="520" w:lineRule="exact"/>
    </w:pPr>
    <w:rPr>
      <w:rFonts w:ascii="楷体_GB2312" w:eastAsia="楷体_GB2312"/>
      <w:sz w:val="28"/>
      <w:szCs w:val="28"/>
    </w:rPr>
  </w:style>
  <w:style w:type="paragraph" w:styleId="2060" w:customStyle="1">
    <w:name w:val="Char Char3 Char Char Char Char"/>
    <w:basedOn w:val="753"/>
    <w:uiPriority w:val="0"/>
    <w:qFormat/>
    <w:pPr>
      <w:jc w:val="left"/>
      <w:spacing w:after="160" w:line="240" w:lineRule="exact"/>
      <w:widowControl/>
    </w:pPr>
    <w:rPr>
      <w:rFonts w:ascii="Verdana" w:hAnsi="Verdana"/>
      <w:sz w:val="20"/>
      <w:szCs w:val="20"/>
      <w:lang w:eastAsia="en-US"/>
    </w:rPr>
  </w:style>
  <w:style w:type="paragraph" w:styleId="2061" w:customStyle="1">
    <w:name w:val="目录标题"/>
    <w:next w:val="1257"/>
    <w:uiPriority w:val="0"/>
    <w:qFormat/>
    <w:pPr>
      <w:jc w:val="center"/>
      <w:spacing w:before="240" w:after="120"/>
    </w:pPr>
    <w:rPr>
      <w:rFonts w:ascii="Calibri" w:hAnsi="Calibri" w:eastAsia="华文新魏" w:cs="Times New Roman"/>
      <w:sz w:val="44"/>
      <w:szCs w:val="24"/>
      <w:lang w:val="en-US" w:eastAsia="zh-CN" w:bidi="ar-SA"/>
    </w:rPr>
  </w:style>
  <w:style w:type="paragraph" w:styleId="2062" w:customStyle="1">
    <w:name w:val="xl16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封面标准代替信息"/>
    <w:basedOn w:val="1687"/>
    <w:uiPriority w:val="0"/>
    <w:qFormat/>
    <w:pPr>
      <w:spacing w:before="57"/>
      <w:framePr w:wrap="around"/>
    </w:pPr>
    <w:rPr>
      <w:rFonts w:ascii="宋体"/>
      <w:sz w:val="21"/>
    </w:rPr>
  </w:style>
  <w:style w:type="paragraph" w:styleId="2064" w:customStyle="1">
    <w:name w:val="xl245"/>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66" w:customStyle="1">
    <w:name w:val="xl25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81"/>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29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样式 小四 首行缩进:  0.74 厘米"/>
    <w:basedOn w:val="753"/>
    <w:uiPriority w:val="0"/>
    <w:qFormat/>
    <w:pPr>
      <w:ind w:firstLine="420"/>
      <w:spacing w:line="360" w:lineRule="auto"/>
    </w:pPr>
    <w:rPr>
      <w:rFonts w:cs="宋体"/>
      <w:sz w:val="24"/>
      <w:szCs w:val="20"/>
    </w:rPr>
  </w:style>
  <w:style w:type="paragraph" w:styleId="2070" w:customStyle="1">
    <w:name w:val="正文文本缩进 22"/>
    <w:basedOn w:val="753"/>
    <w:uiPriority w:val="0"/>
    <w:qFormat/>
    <w:pPr>
      <w:ind w:firstLine="560"/>
      <w:spacing w:line="520" w:lineRule="exact"/>
    </w:pPr>
    <w:rPr>
      <w:rFonts w:ascii="楷体_GB2312" w:eastAsia="楷体_GB2312"/>
      <w:sz w:val="28"/>
      <w:szCs w:val="28"/>
    </w:rPr>
  </w:style>
  <w:style w:type="paragraph" w:styleId="2071" w:customStyle="1">
    <w:name w:val="xl26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2" w:customStyle="1">
    <w:name w:val="正文文本缩进 31"/>
    <w:basedOn w:val="753"/>
    <w:uiPriority w:val="0"/>
    <w:qFormat/>
    <w:pPr>
      <w:ind w:left="520" w:firstLine="425"/>
      <w:jc w:val="center"/>
    </w:pPr>
    <w:rPr>
      <w:rFonts w:ascii="方正行楷简体" w:hAnsi="Arial" w:eastAsia="方正行楷简体"/>
      <w:sz w:val="36"/>
      <w:szCs w:val="20"/>
    </w:rPr>
  </w:style>
  <w:style w:type="paragraph" w:styleId="2073" w:customStyle="1">
    <w:name w:val="DLP正文"/>
    <w:basedOn w:val="753"/>
    <w:uiPriority w:val="0"/>
    <w:qFormat/>
    <w:pPr>
      <w:ind w:firstLine="473"/>
    </w:pPr>
    <w:rPr>
      <w:rFonts w:hAnsi="宋体"/>
      <w:szCs w:val="22"/>
    </w:rPr>
  </w:style>
  <w:style w:type="paragraph" w:styleId="2074" w:customStyle="1">
    <w:name w:val="xl14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xl14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77" w:customStyle="1">
    <w:name w:val="xl294"/>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xl25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9" w:customStyle="1">
    <w:name w:val="正文图标题"/>
    <w:next w:val="809"/>
    <w:uiPriority w:val="0"/>
    <w:qFormat/>
    <w:pPr>
      <w:jc w:val="center"/>
    </w:pPr>
    <w:rPr>
      <w:rFonts w:ascii="黑体" w:hAnsi="Times New Roman" w:eastAsia="黑体" w:cs="Times New Roman"/>
      <w:sz w:val="21"/>
      <w:lang w:val="en-US" w:eastAsia="zh-CN" w:bidi="ar-SA"/>
    </w:rPr>
  </w:style>
  <w:style w:type="paragraph" w:styleId="2080" w:customStyle="1">
    <w:name w:val="文本块1"/>
    <w:basedOn w:val="753"/>
    <w:uiPriority w:val="0"/>
    <w:qFormat/>
    <w:pPr>
      <w:ind w:left="630" w:right="630"/>
      <w:jc w:val="center"/>
    </w:pPr>
    <w:rPr>
      <w:rFonts w:ascii="宋体"/>
      <w:b/>
      <w:sz w:val="32"/>
    </w:rPr>
  </w:style>
  <w:style w:type="paragraph" w:styleId="2081" w:customStyle="1">
    <w:name w:val="xl27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customStyle="1">
    <w:name w:val="xl26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xl243"/>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xl229"/>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_Style 2"/>
    <w:basedOn w:val="753"/>
    <w:uiPriority w:val="34"/>
    <w:qFormat/>
    <w:pPr>
      <w:ind w:firstLine="420"/>
    </w:pPr>
    <w:rPr>
      <w:rFonts w:ascii="Calibri" w:hAnsi="Calibri"/>
      <w:szCs w:val="22"/>
    </w:rPr>
  </w:style>
  <w:style w:type="paragraph" w:styleId="2086" w:customStyle="1">
    <w:name w:val="xl31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customStyle="1">
    <w:name w:val="li_正文"/>
    <w:basedOn w:val="753"/>
    <w:uiPriority w:val="0"/>
    <w:qFormat/>
    <w:pPr>
      <w:ind w:firstLine="560"/>
      <w:spacing w:line="360" w:lineRule="auto"/>
    </w:pPr>
    <w:rPr>
      <w:rFonts w:ascii="仿宋_GB2312" w:eastAsia="仿宋_GB2312"/>
      <w:sz w:val="28"/>
      <w:szCs w:val="28"/>
    </w:rPr>
  </w:style>
  <w:style w:type="paragraph" w:styleId="2088" w:customStyle="1">
    <w:name w:val="xl209"/>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xl274"/>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272"/>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附录表标题"/>
    <w:next w:val="809"/>
    <w:uiPriority w:val="0"/>
    <w:qFormat/>
    <w:pPr>
      <w:jc w:val="center"/>
    </w:pPr>
    <w:rPr>
      <w:rFonts w:ascii="黑体" w:hAnsi="Times New Roman" w:eastAsia="黑体" w:cs="Times New Roman"/>
      <w:sz w:val="21"/>
      <w:lang w:val="en-US" w:eastAsia="zh-CN" w:bidi="ar-SA"/>
    </w:rPr>
  </w:style>
  <w:style w:type="paragraph" w:styleId="2092" w:customStyle="1">
    <w:name w:val="xl148"/>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xl155"/>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xl210"/>
    <w:basedOn w:val="7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5" w:customStyle="1">
    <w:name w:val="正文缩进1"/>
    <w:basedOn w:val="753"/>
    <w:uiPriority w:val="0"/>
    <w:qFormat/>
    <w:pPr>
      <w:ind w:firstLine="420"/>
    </w:pPr>
    <w:rPr>
      <w:szCs w:val="20"/>
    </w:rPr>
  </w:style>
  <w:style w:type="paragraph" w:styleId="2096" w:customStyle="1">
    <w:name w:val="xl278"/>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TOC 标题12"/>
    <w:basedOn w:val="754"/>
    <w:next w:val="7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8" w:customStyle="1">
    <w:name w:val="xl143"/>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314"/>
    <w:basedOn w:val="753"/>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00" w:customStyle="1">
    <w:name w:val="Char Char Char"/>
    <w:basedOn w:val="753"/>
    <w:uiPriority w:val="0"/>
    <w:qFormat/>
    <w:pPr>
      <w:ind w:hanging="425"/>
      <w:keepNext/>
      <w:spacing w:before="80" w:after="80"/>
      <w:widowControl/>
      <w:tabs>
        <w:tab w:val="left" w:pos="425" w:leader="none"/>
      </w:tabs>
    </w:pPr>
    <w:rPr>
      <w:rFonts w:ascii="Arial" w:hAnsi="Arial" w:cs="Arial"/>
      <w:sz w:val="20"/>
      <w:szCs w:val="20"/>
    </w:rPr>
  </w:style>
  <w:style w:type="paragraph" w:styleId="2101" w:customStyle="1">
    <w:name w:val="xl230"/>
    <w:basedOn w:val="75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四号正文"/>
    <w:basedOn w:val="753"/>
    <w:uiPriority w:val="0"/>
    <w:qFormat/>
    <w:pPr>
      <w:ind w:firstLine="560"/>
      <w:spacing w:line="360" w:lineRule="auto"/>
    </w:pPr>
    <w:rPr>
      <w:sz w:val="28"/>
      <w:szCs w:val="28"/>
    </w:rPr>
  </w:style>
  <w:style w:type="paragraph" w:styleId="2103" w:customStyle="1">
    <w:name w:val="标题1"/>
    <w:basedOn w:val="753"/>
    <w:next w:val="7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4" w:customStyle="1">
    <w:name w:val="五号字体"/>
    <w:basedOn w:val="753"/>
    <w:uiPriority w:val="0"/>
    <w:qFormat/>
    <w:pPr>
      <w:jc w:val="center"/>
    </w:pPr>
  </w:style>
  <w:style w:type="paragraph" w:styleId="210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06" w:customStyle="1">
    <w:name w:val="msonormal"/>
    <w:basedOn w:val="753"/>
    <w:uiPriority w:val="0"/>
    <w:qFormat/>
    <w:pPr>
      <w:jc w:val="left"/>
      <w:spacing w:before="100" w:beforeAutospacing="1" w:after="100" w:afterAutospacing="1" w:line="360" w:lineRule="auto"/>
      <w:widowControl/>
    </w:pPr>
    <w:rPr>
      <w:rFonts w:ascii="宋体" w:hAnsi="宋体" w:cs="宋体"/>
      <w:sz w:val="24"/>
    </w:rPr>
  </w:style>
  <w:style w:type="paragraph" w:styleId="2107" w:customStyle="1">
    <w:name w:val="简单回函地址"/>
    <w:basedOn w:val="753"/>
    <w:uiPriority w:val="0"/>
    <w:qFormat/>
    <w:pPr>
      <w:tabs>
        <w:tab w:val="left" w:pos="1140" w:leader="none"/>
      </w:tabs>
    </w:pPr>
  </w:style>
  <w:style w:type="paragraph" w:styleId="2108" w:customStyle="1">
    <w:name w:val="TOC 标题111"/>
    <w:basedOn w:val="754"/>
    <w:next w:val="7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9" w:customStyle="1">
    <w:name w:val="Char Char111"/>
    <w:basedOn w:val="753"/>
    <w:uiPriority w:val="99"/>
    <w:semiHidden/>
    <w:qFormat/>
    <w:pPr>
      <w:jc w:val="left"/>
      <w:spacing w:after="160" w:line="240" w:lineRule="exact"/>
      <w:widowControl/>
    </w:pPr>
    <w:rPr>
      <w:rFonts w:ascii="Verdana" w:hAnsi="Verdana"/>
      <w:sz w:val="20"/>
      <w:lang w:eastAsia="en-US"/>
    </w:rPr>
  </w:style>
  <w:style w:type="paragraph" w:styleId="2110" w:customStyle="1">
    <w:name w:val="TOC 71"/>
    <w:basedOn w:val="753"/>
    <w:next w:val="753"/>
    <w:uiPriority w:val="39"/>
    <w:qFormat/>
    <w:pPr>
      <w:ind w:left="2520"/>
    </w:pPr>
    <w:rPr>
      <w:rFonts w:ascii="Calibri" w:hAnsi="Calibri"/>
      <w:szCs w:val="22"/>
    </w:rPr>
  </w:style>
  <w:style w:type="paragraph" w:styleId="2111" w:customStyle="1">
    <w:name w:val="paragraphindent"/>
    <w:basedOn w:val="753"/>
    <w:uiPriority w:val="0"/>
    <w:qFormat/>
    <w:pPr>
      <w:ind w:firstLine="480"/>
      <w:jc w:val="left"/>
      <w:spacing w:before="100" w:beforeAutospacing="1" w:after="100" w:afterAutospacing="1"/>
      <w:widowControl/>
    </w:pPr>
    <w:rPr>
      <w:rFonts w:ascii="宋体" w:hAnsi="宋体" w:cs="宋体"/>
      <w:sz w:val="24"/>
    </w:rPr>
  </w:style>
  <w:style w:type="paragraph" w:styleId="2112" w:customStyle="1">
    <w:name w:val="助手文本"/>
    <w:basedOn w:val="753"/>
    <w:uiPriority w:val="0"/>
    <w:qFormat/>
    <w:pPr>
      <w:ind w:left="14" w:firstLine="434"/>
      <w:spacing w:line="360" w:lineRule="auto"/>
    </w:pPr>
    <w:rPr>
      <w:rFonts w:ascii="楷体_GB2312" w:eastAsia="楷体_GB2312"/>
      <w:sz w:val="24"/>
      <w:szCs w:val="20"/>
      <w:u w:val="single"/>
    </w:rPr>
  </w:style>
  <w:style w:type="paragraph" w:styleId="2113" w:customStyle="1">
    <w:name w:val="正文无缩进"/>
    <w:basedOn w:val="753"/>
    <w:uiPriority w:val="0"/>
    <w:qFormat/>
    <w:pPr>
      <w:jc w:val="center"/>
      <w:spacing w:line="300" w:lineRule="auto"/>
    </w:pPr>
    <w:rPr>
      <w:rFonts w:ascii="宋体" w:hAnsi="宋体"/>
      <w:sz w:val="24"/>
    </w:rPr>
  </w:style>
  <w:style w:type="paragraph" w:styleId="2114" w:customStyle="1">
    <w:name w:val="Char Char1 Char Char Char Char Char Char"/>
    <w:basedOn w:val="753"/>
    <w:uiPriority w:val="0"/>
    <w:qFormat/>
    <w:pPr>
      <w:jc w:val="left"/>
      <w:spacing w:after="160" w:line="240" w:lineRule="exact"/>
      <w:widowControl/>
    </w:pPr>
    <w:rPr>
      <w:rFonts w:ascii="Verdana" w:hAnsi="Verdana" w:eastAsia="仿宋_GB2312"/>
      <w:sz w:val="24"/>
      <w:szCs w:val="20"/>
      <w:lang w:eastAsia="en-US"/>
    </w:rPr>
  </w:style>
  <w:style w:type="paragraph" w:styleId="2115" w:customStyle="1">
    <w:name w:val="È±Ê¡ÎÄ±¾"/>
    <w:basedOn w:val="753"/>
    <w:uiPriority w:val="0"/>
    <w:qFormat/>
    <w:pPr>
      <w:jc w:val="left"/>
      <w:widowControl/>
    </w:pPr>
    <w:rPr>
      <w:sz w:val="24"/>
      <w:szCs w:val="20"/>
    </w:rPr>
  </w:style>
  <w:style w:type="paragraph" w:styleId="2116" w:customStyle="1">
    <w:name w:val="14_black"/>
    <w:basedOn w:val="753"/>
    <w:uiPriority w:val="0"/>
    <w:qFormat/>
    <w:pPr>
      <w:jc w:val="left"/>
      <w:spacing w:before="100" w:beforeAutospacing="1" w:after="100" w:afterAutospacing="1"/>
      <w:widowControl/>
    </w:pPr>
    <w:rPr>
      <w:rFonts w:ascii="宋体" w:hAnsi="宋体" w:cs="宋体"/>
      <w:color w:val="000000"/>
      <w:sz w:val="23"/>
      <w:szCs w:val="23"/>
    </w:rPr>
  </w:style>
  <w:style w:type="paragraph" w:styleId="2117" w:customStyle="1">
    <w:name w:val="Char Char Char Char"/>
    <w:basedOn w:val="829"/>
    <w:uiPriority w:val="0"/>
    <w:qFormat/>
    <w:pPr>
      <w:ind w:firstLine="454"/>
      <w:jc w:val="left"/>
      <w:shd w:val="clear" w:color="auto" w:fill="000080"/>
      <w:widowControl/>
    </w:pPr>
    <w:rPr>
      <w:rFonts w:ascii="Tahoma" w:hAnsi="Tahoma" w:cs="宋体"/>
      <w:sz w:val="21"/>
      <w:szCs w:val="20"/>
    </w:rPr>
  </w:style>
  <w:style w:type="paragraph" w:styleId="211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1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2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21" w:customStyle="1">
    <w:name w:val="四级无标题条"/>
    <w:basedOn w:val="753"/>
    <w:uiPriority w:val="0"/>
    <w:qFormat/>
    <w:pPr>
      <w:ind w:left="2520" w:hanging="420"/>
    </w:pPr>
  </w:style>
  <w:style w:type="paragraph" w:styleId="2122" w:customStyle="1">
    <w:name w:val="五级无标题条"/>
    <w:basedOn w:val="753"/>
    <w:uiPriority w:val="0"/>
    <w:qFormat/>
    <w:pPr>
      <w:ind w:left="2940" w:hanging="420"/>
    </w:pPr>
  </w:style>
  <w:style w:type="paragraph" w:styleId="2123" w:customStyle="1">
    <w:name w:val="正文表标题"/>
    <w:next w:val="809"/>
    <w:uiPriority w:val="0"/>
    <w:qFormat/>
    <w:pPr>
      <w:ind w:left="1740" w:hanging="420"/>
      <w:jc w:val="center"/>
    </w:pPr>
    <w:rPr>
      <w:rFonts w:ascii="黑体" w:hAnsi="Times New Roman" w:eastAsia="黑体" w:cs="Times New Roman"/>
      <w:sz w:val="21"/>
      <w:lang w:val="en-US" w:eastAsia="zh-CN" w:bidi="ar-SA"/>
    </w:rPr>
  </w:style>
  <w:style w:type="paragraph" w:styleId="2124" w:customStyle="1">
    <w:name w:val="我的图片"/>
    <w:basedOn w:val="753"/>
    <w:next w:val="1445"/>
    <w:uiPriority w:val="0"/>
    <w:qFormat/>
    <w:pPr>
      <w:jc w:val="center"/>
      <w:spacing w:line="360" w:lineRule="auto"/>
      <w:widowControl/>
    </w:pPr>
    <w:rPr>
      <w:rFonts w:ascii="Arial" w:hAnsi="Arial" w:eastAsia="楷体_GB2312"/>
      <w:sz w:val="24"/>
    </w:rPr>
  </w:style>
  <w:style w:type="paragraph" w:styleId="2125" w:customStyle="1">
    <w:name w:val="1 Char Char Char Char"/>
    <w:basedOn w:val="753"/>
    <w:uiPriority w:val="0"/>
    <w:qFormat/>
    <w:rPr>
      <w:rFonts w:ascii="Tahoma" w:hAnsi="Tahoma"/>
      <w:sz w:val="24"/>
      <w:szCs w:val="20"/>
    </w:rPr>
  </w:style>
  <w:style w:type="paragraph" w:styleId="2126" w:customStyle="1">
    <w:name w:val="NAP Normal"/>
    <w:basedOn w:val="753"/>
    <w:uiPriority w:val="0"/>
    <w:qFormat/>
    <w:pPr>
      <w:spacing w:line="240" w:lineRule="exact"/>
    </w:pPr>
    <w:rPr>
      <w:sz w:val="22"/>
      <w:szCs w:val="20"/>
    </w:rPr>
  </w:style>
  <w:style w:type="paragraph" w:styleId="2127" w:customStyle="1">
    <w:name w:val="样式 标题 2第一章 标题 2Heading 2 HiddenHeading 2 CCBSH2h22nd level..."/>
    <w:basedOn w:val="75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8" w:customStyle="1">
    <w:name w:val="Char Char Char Char Char Char Char Char Char Char"/>
    <w:basedOn w:val="758"/>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29" w:customStyle="1">
    <w:name w:val="zn4"/>
    <w:basedOn w:val="1523"/>
    <w:next w:val="757"/>
    <w:uiPriority w:val="0"/>
    <w:qFormat/>
    <w:pPr>
      <w:ind w:left="851" w:hanging="851"/>
      <w:tabs>
        <w:tab w:val="clear" w:pos="1069" w:leader="none"/>
        <w:tab w:val="left" w:pos="1080" w:leader="none"/>
      </w:tabs>
      <w:outlineLvl w:val="3"/>
    </w:pPr>
    <w:rPr>
      <w:lang w:val="zh-CN"/>
    </w:rPr>
  </w:style>
  <w:style w:type="paragraph" w:styleId="2130" w:customStyle="1">
    <w:name w:val="图表"/>
    <w:basedOn w:val="753"/>
    <w:uiPriority w:val="99"/>
    <w:qFormat/>
    <w:pPr>
      <w:ind w:firstLine="200"/>
      <w:jc w:val="center"/>
      <w:spacing w:line="360" w:lineRule="auto"/>
    </w:pPr>
    <w:rPr>
      <w:rFonts w:ascii="方正仿宋_GBK" w:hAnsi="方正仿宋_GBK" w:eastAsia="方正仿宋_GBK"/>
      <w:sz w:val="32"/>
      <w:szCs w:val="22"/>
    </w:rPr>
  </w:style>
  <w:style w:type="paragraph" w:styleId="2131" w:customStyle="1">
    <w:name w:val="图释"/>
    <w:basedOn w:val="753"/>
    <w:uiPriority w:val="99"/>
    <w:qFormat/>
    <w:pPr>
      <w:ind w:firstLine="200"/>
      <w:jc w:val="center"/>
      <w:spacing w:line="560" w:lineRule="exact"/>
    </w:pPr>
    <w:rPr>
      <w:rFonts w:ascii="方正仿宋_GBK" w:hAnsi="方正仿宋_GBK" w:eastAsia="方正楷体_GBK"/>
      <w:sz w:val="28"/>
      <w:szCs w:val="22"/>
    </w:rPr>
  </w:style>
  <w:style w:type="paragraph" w:styleId="2132" w:customStyle="1">
    <w:name w:val="修订1"/>
    <w:uiPriority w:val="99"/>
    <w:semiHidden/>
    <w:qFormat/>
    <w:rPr>
      <w:rFonts w:ascii="Times New Roman" w:hAnsi="Times New Roman" w:eastAsia="仿宋" w:cs="Times New Roman"/>
      <w:sz w:val="28"/>
      <w:szCs w:val="24"/>
      <w:lang w:val="en-US" w:eastAsia="zh-CN" w:bidi="ar-SA"/>
    </w:rPr>
  </w:style>
  <w:style w:type="paragraph" w:styleId="2133" w:customStyle="1">
    <w:name w:val="五号正文项目（标准）"/>
    <w:basedOn w:val="75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4" w:customStyle="1">
    <w:name w:val="序列1"/>
    <w:basedOn w:val="75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5" w:customStyle="1">
    <w:name w:val="标题8"/>
    <w:basedOn w:val="759"/>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6" w:customStyle="1">
    <w:name w:val="wx正文+标号"/>
    <w:basedOn w:val="753"/>
    <w:uiPriority w:val="0"/>
    <w:semiHidden/>
    <w:qFormat/>
    <w:pPr>
      <w:ind w:left="510" w:hanging="340"/>
      <w:spacing w:line="360" w:lineRule="auto"/>
      <w:tabs>
        <w:tab w:val="left" w:pos="510" w:leader="none"/>
      </w:tabs>
    </w:pPr>
    <w:rPr>
      <w:rFonts w:cs="宋体"/>
      <w:sz w:val="24"/>
      <w:szCs w:val="20"/>
    </w:rPr>
  </w:style>
  <w:style w:type="paragraph" w:styleId="2137" w:customStyle="1">
    <w:name w:val="text-center"/>
    <w:basedOn w:val="753"/>
    <w:uiPriority w:val="0"/>
    <w:qFormat/>
    <w:pPr>
      <w:jc w:val="center"/>
      <w:spacing w:after="150"/>
      <w:widowControl/>
    </w:pPr>
    <w:rPr>
      <w:rFonts w:ascii="宋体" w:hAnsi="宋体" w:cs="宋体"/>
      <w:sz w:val="24"/>
    </w:rPr>
  </w:style>
  <w:style w:type="paragraph" w:styleId="2138" w:customStyle="1">
    <w:name w:val="faqa"/>
    <w:basedOn w:val="753"/>
    <w:uiPriority w:val="0"/>
    <w:qFormat/>
    <w:pPr>
      <w:jc w:val="left"/>
      <w:spacing w:after="150"/>
      <w:widowControl/>
    </w:pPr>
    <w:rPr>
      <w:rFonts w:ascii="微软雅黑" w:hAnsi="微软雅黑" w:eastAsia="微软雅黑" w:cs="宋体"/>
      <w:b/>
      <w:bCs/>
      <w:sz w:val="27"/>
      <w:szCs w:val="27"/>
    </w:rPr>
  </w:style>
  <w:style w:type="paragraph" w:styleId="2139" w:customStyle="1">
    <w:name w:val="样式 标题 55l4H5h5Second Subheading + 段前: 0.5 行 段后: 0.5 行 行距:..."/>
    <w:basedOn w:val="75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40" w:customStyle="1">
    <w:name w:val="Test2"/>
    <w:basedOn w:val="75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1" w:customStyle="1">
    <w:name w:val="正文编号项"/>
    <w:basedOn w:val="83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2" w:customStyle="1">
    <w:name w:val="正文文本2"/>
    <w:basedOn w:val="753"/>
    <w:uiPriority w:val="99"/>
    <w:qFormat/>
    <w:pPr>
      <w:jc w:val="left"/>
      <w:spacing w:after="120" w:line="288" w:lineRule="auto"/>
      <w:widowControl/>
    </w:pPr>
    <w:rPr>
      <w:rFonts w:ascii="Verdana" w:hAnsi="Verdana"/>
      <w:sz w:val="24"/>
      <w:szCs w:val="20"/>
      <w:lang w:eastAsia="en-US"/>
    </w:rPr>
  </w:style>
  <w:style w:type="paragraph" w:styleId="2143" w:customStyle="1">
    <w:name w:val="Char21"/>
    <w:basedOn w:val="753"/>
    <w:uiPriority w:val="0"/>
    <w:qFormat/>
    <w:rPr>
      <w:rFonts w:ascii="仿宋_GB2312" w:eastAsia="仿宋_GB2312"/>
      <w:b/>
      <w:sz w:val="32"/>
      <w:szCs w:val="32"/>
    </w:rPr>
  </w:style>
  <w:style w:type="paragraph" w:styleId="2144" w:customStyle="1">
    <w:name w:val="Char1 Char Char Char21"/>
    <w:basedOn w:val="753"/>
    <w:uiPriority w:val="0"/>
    <w:qFormat/>
    <w:rPr>
      <w:rFonts w:ascii="Tahoma" w:hAnsi="Tahoma"/>
      <w:sz w:val="24"/>
      <w:szCs w:val="20"/>
    </w:rPr>
  </w:style>
  <w:style w:type="paragraph" w:styleId="2145" w:customStyle="1">
    <w:name w:val="Char Char12"/>
    <w:basedOn w:val="753"/>
    <w:uiPriority w:val="0"/>
    <w:qFormat/>
    <w:pPr>
      <w:jc w:val="left"/>
      <w:spacing w:after="160" w:line="240" w:lineRule="exact"/>
      <w:widowControl/>
    </w:pPr>
    <w:rPr>
      <w:rFonts w:ascii="Verdana" w:hAnsi="Verdana"/>
      <w:sz w:val="20"/>
      <w:lang w:eastAsia="en-US"/>
    </w:rPr>
  </w:style>
  <w:style w:type="paragraph" w:styleId="2146" w:customStyle="1">
    <w:name w:val="Normal (Web)1"/>
    <w:basedOn w:val="753"/>
    <w:uiPriority w:val="0"/>
    <w:qFormat/>
    <w:pPr>
      <w:jc w:val="left"/>
      <w:spacing w:before="100" w:beforeAutospacing="1" w:after="100" w:afterAutospacing="1"/>
      <w:widowControl/>
    </w:pPr>
    <w:rPr>
      <w:rFonts w:ascii="宋体" w:hAnsi="宋体" w:cs="宋体"/>
      <w:sz w:val="24"/>
    </w:rPr>
  </w:style>
  <w:style w:type="paragraph" w:styleId="2147" w:customStyle="1">
    <w:name w:val="_Style 171"/>
    <w:basedOn w:val="753"/>
    <w:next w:val="753"/>
    <w:uiPriority w:val="0"/>
    <w:qFormat/>
    <w:pPr>
      <w:ind w:firstLine="560"/>
      <w:spacing w:line="500" w:lineRule="exact"/>
    </w:pPr>
    <w:rPr>
      <w:rFonts w:ascii="Cambria" w:hAnsi="Cambria" w:eastAsia="仿宋"/>
      <w:color w:val="000000"/>
      <w:sz w:val="28"/>
      <w:szCs w:val="20"/>
    </w:rPr>
  </w:style>
  <w:style w:type="paragraph" w:styleId="2148" w:customStyle="1">
    <w:name w:val="中等深浅底纹 1 - 着色 11"/>
    <w:next w:val="2149"/>
    <w:uiPriority w:val="0"/>
    <w:qFormat/>
    <w:pPr>
      <w:widowControl w:val="off"/>
    </w:pPr>
    <w:rPr>
      <w:rFonts w:ascii="宋体" w:hAnsi="Calibri" w:eastAsia="宋体" w:cs="Times New Roman"/>
      <w:sz w:val="21"/>
      <w:szCs w:val="22"/>
      <w:lang w:val="en-US" w:eastAsia="zh-CN" w:bidi="ar-SA"/>
    </w:rPr>
  </w:style>
  <w:style w:type="paragraph" w:styleId="2149" w:customStyle="1">
    <w:name w:val="D表"/>
    <w:basedOn w:val="753"/>
    <w:next w:val="829"/>
    <w:uiPriority w:val="0"/>
    <w:qFormat/>
    <w:pPr>
      <w:ind w:hanging="2"/>
      <w:spacing w:line="500" w:lineRule="exact"/>
    </w:pPr>
    <w:rPr>
      <w:rFonts w:ascii="Calibri" w:hAnsi="Calibri" w:eastAsia="仿宋"/>
      <w:sz w:val="18"/>
      <w:szCs w:val="18"/>
    </w:rPr>
  </w:style>
  <w:style w:type="paragraph" w:styleId="2150" w:customStyle="1">
    <w:name w:val="金宏发行正文 Char Char"/>
    <w:basedOn w:val="753"/>
    <w:next w:val="2121"/>
    <w:uiPriority w:val="0"/>
    <w:qFormat/>
    <w:pPr>
      <w:ind w:firstLine="560"/>
      <w:spacing w:line="500" w:lineRule="exact"/>
    </w:pPr>
    <w:rPr>
      <w:rFonts w:ascii="Calibri" w:hAnsi="Calibri" w:eastAsia="仿宋_GB2312" w:cs="宋体"/>
      <w:sz w:val="28"/>
      <w:szCs w:val="20"/>
    </w:rPr>
  </w:style>
  <w:style w:type="paragraph" w:styleId="2151" w:customStyle="1">
    <w:name w:val="Char1 Char Char Char2"/>
    <w:basedOn w:val="753"/>
    <w:uiPriority w:val="0"/>
    <w:qFormat/>
    <w:pPr>
      <w:ind w:firstLine="560"/>
      <w:spacing w:line="500" w:lineRule="exact"/>
    </w:pPr>
    <w:rPr>
      <w:rFonts w:ascii="Tahoma" w:hAnsi="Tahoma" w:eastAsia="仿宋"/>
      <w:sz w:val="28"/>
      <w:szCs w:val="20"/>
    </w:rPr>
  </w:style>
  <w:style w:type="paragraph" w:styleId="2152" w:customStyle="1">
    <w:name w:val="Char Char Char Char2"/>
    <w:basedOn w:val="753"/>
    <w:uiPriority w:val="0"/>
    <w:qFormat/>
    <w:pPr>
      <w:ind w:firstLine="560"/>
      <w:spacing w:line="500" w:lineRule="exact"/>
    </w:pPr>
    <w:rPr>
      <w:rFonts w:ascii="Calibri" w:hAnsi="Calibri" w:eastAsia="仿宋"/>
      <w:sz w:val="28"/>
    </w:rPr>
  </w:style>
  <w:style w:type="paragraph" w:styleId="2153" w:customStyle="1">
    <w:name w:val="Heading"/>
    <w:basedOn w:val="753"/>
    <w:next w:val="83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4" w:customStyle="1">
    <w:name w:val="Char Char Char Char1"/>
    <w:basedOn w:val="753"/>
    <w:uiPriority w:val="0"/>
    <w:qFormat/>
    <w:pPr>
      <w:ind w:firstLine="560"/>
      <w:spacing w:line="500" w:lineRule="exact"/>
    </w:pPr>
    <w:rPr>
      <w:rFonts w:ascii="Calibri" w:hAnsi="Calibri" w:eastAsia="仿宋"/>
      <w:sz w:val="28"/>
    </w:rPr>
  </w:style>
  <w:style w:type="paragraph" w:styleId="2155" w:customStyle="1">
    <w:name w:val="Char Char Char Char Char Char Char Char Char Char Char Char Char Char Char Char Char Char Char Char"/>
    <w:basedOn w:val="753"/>
    <w:next w:val="753"/>
    <w:uiPriority w:val="0"/>
    <w:qFormat/>
    <w:pPr>
      <w:ind w:left="420" w:hanging="420"/>
      <w:spacing w:line="360" w:lineRule="auto"/>
      <w:tabs>
        <w:tab w:val="left" w:pos="851" w:leader="none"/>
      </w:tabs>
    </w:pPr>
    <w:rPr>
      <w:rFonts w:ascii="Calibri" w:hAnsi="Calibri" w:eastAsia="仿宋"/>
      <w:sz w:val="28"/>
    </w:rPr>
  </w:style>
  <w:style w:type="paragraph" w:styleId="2156" w:customStyle="1">
    <w:name w:val="中等深浅网格 1 - 着色 21"/>
    <w:basedOn w:val="753"/>
    <w:uiPriority w:val="34"/>
    <w:qFormat/>
    <w:pPr>
      <w:ind w:firstLine="420"/>
    </w:pPr>
    <w:rPr>
      <w:rFonts w:ascii="Calibri" w:hAnsi="Calibri" w:eastAsia="仿宋"/>
      <w:sz w:val="28"/>
      <w:szCs w:val="22"/>
    </w:rPr>
  </w:style>
  <w:style w:type="paragraph" w:styleId="2157" w:customStyle="1">
    <w:name w:val="注意事项"/>
    <w:basedOn w:val="753"/>
    <w:uiPriority w:val="0"/>
    <w:qFormat/>
    <w:pPr>
      <w:ind w:firstLine="200"/>
      <w:spacing w:before="60" w:after="60" w:line="360" w:lineRule="auto"/>
    </w:pPr>
    <w:rPr>
      <w:rFonts w:ascii="仿宋" w:hAnsi="仿宋"/>
      <w:b/>
      <w:bCs/>
      <w:sz w:val="28"/>
      <w:lang w:eastAsia="ar-SA"/>
    </w:rPr>
  </w:style>
  <w:style w:type="paragraph" w:styleId="215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59" w:customStyle="1">
    <w:name w:val="无编号标题"/>
    <w:basedOn w:val="753"/>
    <w:next w:val="1677"/>
    <w:uiPriority w:val="0"/>
    <w:qFormat/>
    <w:pPr>
      <w:ind w:firstLine="560"/>
      <w:jc w:val="center"/>
      <w:pageBreakBefore/>
      <w:spacing w:line="480" w:lineRule="auto"/>
      <w:suppressLineNumbers/>
    </w:pPr>
    <w:rPr>
      <w:rFonts w:ascii="宋体" w:hAnsi="宋体" w:eastAsia="仿宋"/>
      <w:b/>
      <w:sz w:val="36"/>
      <w:szCs w:val="44"/>
    </w:rPr>
  </w:style>
  <w:style w:type="paragraph" w:styleId="2160" w:customStyle="1">
    <w:name w:val="Bid_正文"/>
    <w:basedOn w:val="766"/>
    <w:next w:val="2161"/>
    <w:uiPriority w:val="0"/>
    <w:qFormat/>
    <w:pPr>
      <w:ind w:firstLine="200"/>
      <w:jc w:val="left"/>
      <w:spacing w:line="590" w:lineRule="atLeast"/>
      <w:widowControl/>
    </w:pPr>
    <w:rPr>
      <w:rFonts w:ascii="方正仿宋_GBK" w:hAnsi="Calibri" w:eastAsia="仿宋"/>
      <w:spacing w:val="-25"/>
      <w:sz w:val="32"/>
      <w:szCs w:val="20"/>
    </w:rPr>
  </w:style>
  <w:style w:type="paragraph" w:styleId="2161" w:customStyle="1">
    <w:name w:val="p1"/>
    <w:basedOn w:val="753"/>
    <w:next w:val="82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2" w:customStyle="1">
    <w:name w:val="正文首行缩进 Char3"/>
    <w:basedOn w:val="753"/>
    <w:uiPriority w:val="0"/>
    <w:qFormat/>
    <w:pPr>
      <w:ind w:firstLine="560"/>
      <w:spacing w:line="500" w:lineRule="exact"/>
    </w:pPr>
    <w:rPr>
      <w:rFonts w:ascii="Calibri" w:hAnsi="Calibri" w:eastAsia="仿宋"/>
      <w:sz w:val="28"/>
      <w:szCs w:val="20"/>
    </w:rPr>
  </w:style>
  <w:style w:type="paragraph" w:styleId="2163" w:customStyle="1">
    <w:name w:val="表格内容"/>
    <w:basedOn w:val="753"/>
    <w:next w:val="1942"/>
    <w:uiPriority w:val="0"/>
    <w:qFormat/>
    <w:pPr>
      <w:ind w:firstLine="560"/>
      <w:jc w:val="left"/>
      <w:spacing w:line="360" w:lineRule="auto"/>
    </w:pPr>
    <w:rPr>
      <w:rFonts w:ascii="微软雅黑" w:hAnsi="微软雅黑" w:eastAsia="微软雅黑"/>
      <w:sz w:val="18"/>
      <w:lang w:val="en-GB"/>
    </w:rPr>
  </w:style>
  <w:style w:type="paragraph" w:styleId="2164" w:customStyle="1">
    <w:name w:val="文章正文"/>
    <w:basedOn w:val="753"/>
    <w:next w:val="2165"/>
    <w:uiPriority w:val="0"/>
    <w:qFormat/>
    <w:pPr>
      <w:ind w:firstLine="482"/>
      <w:spacing w:line="360" w:lineRule="auto"/>
    </w:pPr>
    <w:rPr>
      <w:rFonts w:ascii="Calibri" w:hAnsi="Calibri" w:eastAsia="仿宋"/>
    </w:rPr>
  </w:style>
  <w:style w:type="paragraph" w:styleId="2165" w:customStyle="1">
    <w:name w:val="我的图表标题"/>
    <w:basedOn w:val="753"/>
    <w:next w:val="1155"/>
    <w:uiPriority w:val="0"/>
    <w:qFormat/>
    <w:pPr>
      <w:ind w:firstLine="560"/>
      <w:jc w:val="center"/>
      <w:spacing w:line="360" w:lineRule="auto"/>
    </w:pPr>
    <w:rPr>
      <w:rFonts w:ascii="Cambria" w:hAnsi="Cambria" w:eastAsia="黑体" w:cs="宋体"/>
      <w:sz w:val="28"/>
      <w:szCs w:val="20"/>
    </w:rPr>
  </w:style>
  <w:style w:type="paragraph" w:styleId="2166" w:customStyle="1">
    <w:name w:val="11111"/>
    <w:basedOn w:val="753"/>
    <w:next w:val="2167"/>
    <w:uiPriority w:val="0"/>
    <w:qFormat/>
    <w:pPr>
      <w:ind w:firstLine="200"/>
      <w:spacing w:after="120" w:line="360" w:lineRule="auto"/>
    </w:pPr>
    <w:rPr>
      <w:rFonts w:ascii="宋体" w:hAnsi="Calibri" w:eastAsia="仿宋" w:cs="宋体"/>
      <w:color w:val="000000"/>
      <w:sz w:val="28"/>
      <w:lang w:val="zh-CN"/>
    </w:rPr>
  </w:style>
  <w:style w:type="paragraph" w:styleId="2167" w:customStyle="1">
    <w:name w:val="Char Char Char Char Char Char Char Char Char Char Char Char Char"/>
    <w:basedOn w:val="753"/>
    <w:next w:val="766"/>
    <w:uiPriority w:val="0"/>
    <w:qFormat/>
    <w:pPr>
      <w:jc w:val="left"/>
      <w:spacing w:after="160" w:line="240" w:lineRule="exact"/>
      <w:widowControl/>
    </w:pPr>
    <w:rPr>
      <w:rFonts w:ascii="Verdana" w:hAnsi="Verdana" w:eastAsia="仿宋_GB2312"/>
      <w:sz w:val="28"/>
      <w:szCs w:val="20"/>
      <w:lang w:eastAsia="en-US"/>
    </w:rPr>
  </w:style>
  <w:style w:type="paragraph" w:styleId="2168" w:customStyle="1">
    <w:name w:val="标题 41"/>
    <w:basedOn w:val="756"/>
    <w:next w:val="83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9" w:customStyle="1">
    <w:name w:val="Char Char Char Char Char Char Char Char Char1 Char Char Char Char Char Char Char Char Char Char"/>
    <w:basedOn w:val="753"/>
    <w:next w:val="21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3"/>
    <w:basedOn w:val="753"/>
    <w:uiPriority w:val="0"/>
    <w:qFormat/>
    <w:pPr>
      <w:ind w:firstLine="420"/>
      <w:spacing w:line="360" w:lineRule="auto"/>
      <w:tabs>
        <w:tab w:val="left" w:pos="695" w:leader="none"/>
      </w:tabs>
    </w:pPr>
    <w:rPr>
      <w:rFonts w:ascii="Calibri" w:hAnsi="Calibri" w:eastAsia="仿宋"/>
      <w:sz w:val="28"/>
    </w:rPr>
  </w:style>
  <w:style w:type="paragraph" w:styleId="2171" w:customStyle="1">
    <w:name w:val="正文Normal"/>
    <w:basedOn w:val="753"/>
    <w:next w:val="1078"/>
    <w:uiPriority w:val="0"/>
    <w:qFormat/>
    <w:pPr>
      <w:ind w:firstLine="480"/>
      <w:spacing w:after="120" w:line="360" w:lineRule="auto"/>
    </w:pPr>
    <w:rPr>
      <w:rFonts w:ascii="Arial" w:hAnsi="Arial" w:eastAsia="仿宋" w:cs="Arial"/>
      <w:sz w:val="28"/>
    </w:rPr>
  </w:style>
  <w:style w:type="paragraph" w:styleId="2172" w:customStyle="1">
    <w:name w:val="标准正文"/>
    <w:basedOn w:val="753"/>
    <w:next w:val="762"/>
    <w:uiPriority w:val="0"/>
    <w:qFormat/>
    <w:pPr>
      <w:ind w:firstLine="560"/>
      <w:spacing w:line="500" w:lineRule="exact"/>
    </w:pPr>
    <w:rPr>
      <w:rFonts w:ascii="Calibri" w:hAnsi="Calibri" w:eastAsia="仿宋"/>
      <w:sz w:val="28"/>
      <w:lang w:val="en-GB"/>
    </w:rPr>
  </w:style>
  <w:style w:type="paragraph" w:styleId="2173" w:customStyle="1">
    <w:name w:val="_Style 62"/>
    <w:next w:val="883"/>
    <w:uiPriority w:val="0"/>
    <w:qFormat/>
    <w:pPr>
      <w:jc w:val="both"/>
      <w:widowControl w:val="off"/>
    </w:pPr>
    <w:rPr>
      <w:rFonts w:ascii="Calibri" w:hAnsi="Calibri" w:eastAsia="宋体" w:cs="Times New Roman"/>
      <w:sz w:val="21"/>
      <w:szCs w:val="22"/>
      <w:lang w:val="en-US" w:eastAsia="zh-CN" w:bidi="ar-SA"/>
    </w:rPr>
  </w:style>
  <w:style w:type="paragraph" w:styleId="2174" w:customStyle="1">
    <w:name w:val="_Style 54"/>
    <w:next w:val="1610"/>
    <w:uiPriority w:val="0"/>
    <w:qFormat/>
    <w:rPr>
      <w:rFonts w:ascii="Calibri" w:hAnsi="Calibri" w:eastAsia="宋体" w:cs="Times New Roman"/>
      <w:sz w:val="24"/>
      <w:szCs w:val="24"/>
      <w:lang w:val="en-US" w:eastAsia="zh-CN" w:bidi="ar-SA"/>
    </w:rPr>
  </w:style>
  <w:style w:type="paragraph" w:styleId="2175" w:customStyle="1">
    <w:name w:val="样式 标题 2 + 行距: 最小值 12 磅"/>
    <w:basedOn w:val="755"/>
    <w:next w:val="76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6" w:customStyle="1">
    <w:name w:val="ABC_正文"/>
    <w:basedOn w:val="753"/>
    <w:uiPriority w:val="0"/>
    <w:qFormat/>
    <w:pPr>
      <w:ind w:firstLine="200"/>
      <w:widowControl/>
    </w:pPr>
    <w:rPr>
      <w:rFonts w:ascii="Calibri" w:hAnsi="宋体" w:eastAsia="Times New Roman"/>
      <w:sz w:val="20"/>
      <w:szCs w:val="20"/>
    </w:rPr>
  </w:style>
  <w:style w:type="paragraph" w:styleId="2177" w:customStyle="1">
    <w:name w:val="InfoBlue"/>
    <w:basedOn w:val="753"/>
    <w:uiPriority w:val="0"/>
    <w:qFormat/>
    <w:pPr>
      <w:ind w:left="720" w:firstLine="560"/>
      <w:jc w:val="left"/>
      <w:spacing w:after="120" w:line="360" w:lineRule="auto"/>
    </w:pPr>
    <w:rPr>
      <w:rFonts w:ascii="Calibri" w:hAnsi="Calibri" w:eastAsia="仿宋"/>
      <w:color w:val="0000ff"/>
      <w:szCs w:val="20"/>
    </w:rPr>
  </w:style>
  <w:style w:type="paragraph" w:styleId="2178" w:customStyle="1">
    <w:name w:val="样式 标题 3"/>
    <w:basedOn w:val="756"/>
    <w:next w:val="84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80" w:customStyle="1">
    <w:name w:val="Char Char Char Char Char Char Char Char Char Char Char Char Char Char Char1 Char"/>
    <w:basedOn w:val="753"/>
    <w:next w:val="841"/>
    <w:uiPriority w:val="0"/>
    <w:qFormat/>
    <w:pPr>
      <w:ind w:firstLine="560"/>
      <w:jc w:val="left"/>
      <w:spacing w:after="160" w:line="240" w:lineRule="exact"/>
      <w:widowControl/>
    </w:pPr>
    <w:rPr>
      <w:rFonts w:ascii="Verdana" w:hAnsi="Verdana" w:eastAsia="仿宋"/>
      <w:sz w:val="20"/>
      <w:szCs w:val="20"/>
      <w:lang w:eastAsia="en-US"/>
    </w:rPr>
  </w:style>
  <w:style w:type="paragraph" w:styleId="2181" w:customStyle="1">
    <w:name w:val="无首行缩进正文"/>
    <w:basedOn w:val="2165"/>
    <w:next w:val="2117"/>
    <w:uiPriority w:val="0"/>
    <w:qFormat/>
    <w:pPr>
      <w:ind w:firstLine="0"/>
      <w:jc w:val="both"/>
    </w:pPr>
    <w:rPr>
      <w:rFonts w:ascii="Calibri" w:hAnsi="Calibri" w:eastAsia="方正仿宋_GBK" w:cs="Times New Roman"/>
      <w:sz w:val="21"/>
      <w:szCs w:val="24"/>
    </w:rPr>
  </w:style>
  <w:style w:type="paragraph" w:styleId="2182" w:customStyle="1">
    <w:name w:val="Plain Text1"/>
    <w:basedOn w:val="753"/>
    <w:next w:val="821"/>
    <w:uiPriority w:val="0"/>
    <w:qFormat/>
    <w:pPr>
      <w:ind w:firstLine="560"/>
      <w:spacing w:line="360" w:lineRule="auto"/>
    </w:pPr>
    <w:rPr>
      <w:rFonts w:ascii="宋体" w:hAnsi="宋体" w:eastAsia="仿宋"/>
      <w:sz w:val="28"/>
      <w:szCs w:val="20"/>
    </w:rPr>
  </w:style>
  <w:style w:type="paragraph" w:styleId="2183" w:customStyle="1">
    <w:name w:val="Char Char Char Char Char Char Char Char Char Char Char Char Char1"/>
    <w:basedOn w:val="7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4" w:customStyle="1">
    <w:name w:val="样式 Tabletext + 五号 加粗 居中 段后: 0 磅 行距: 1.5 倍行距"/>
    <w:basedOn w:val="753"/>
    <w:uiPriority w:val="0"/>
    <w:qFormat/>
    <w:pPr>
      <w:ind w:firstLine="560"/>
      <w:spacing w:line="500" w:lineRule="exact"/>
    </w:pPr>
    <w:rPr>
      <w:rFonts w:ascii="Calibri" w:hAnsi="Calibri" w:eastAsia="仿宋"/>
      <w:sz w:val="28"/>
      <w:szCs w:val="20"/>
    </w:rPr>
  </w:style>
  <w:style w:type="paragraph" w:styleId="2185" w:customStyle="1">
    <w:name w:val="Subject"/>
    <w:basedOn w:val="753"/>
    <w:uiPriority w:val="0"/>
    <w:qFormat/>
    <w:pPr>
      <w:jc w:val="center"/>
      <w:widowControl/>
    </w:pPr>
    <w:rPr>
      <w:rFonts w:ascii="Calibri" w:hAnsi="Calibri" w:eastAsia="黑体"/>
      <w:b/>
      <w:sz w:val="48"/>
    </w:rPr>
  </w:style>
  <w:style w:type="paragraph" w:styleId="2186" w:customStyle="1">
    <w:name w:val="题注1"/>
    <w:basedOn w:val="753"/>
    <w:uiPriority w:val="0"/>
    <w:qFormat/>
    <w:pPr>
      <w:ind w:firstLine="720"/>
      <w:spacing w:before="120" w:after="120" w:line="360" w:lineRule="auto"/>
      <w:suppressLineNumbers/>
    </w:pPr>
    <w:rPr>
      <w:rFonts w:ascii="仿宋" w:hAnsi="仿宋"/>
      <w:i/>
      <w:iCs/>
      <w:sz w:val="28"/>
      <w:lang w:eastAsia="ar-SA"/>
    </w:rPr>
  </w:style>
  <w:style w:type="paragraph" w:styleId="2187" w:customStyle="1">
    <w:name w:val="默认段落字体 Para Char Char Char Char"/>
    <w:basedOn w:val="753"/>
    <w:next w:val="850"/>
    <w:uiPriority w:val="0"/>
    <w:qFormat/>
    <w:pPr>
      <w:ind w:firstLine="560"/>
      <w:spacing w:line="360" w:lineRule="auto"/>
    </w:pPr>
    <w:rPr>
      <w:rFonts w:ascii="Calibri" w:hAnsi="Calibri" w:eastAsia="仿宋"/>
      <w:sz w:val="28"/>
      <w:szCs w:val="20"/>
    </w:rPr>
  </w:style>
  <w:style w:type="paragraph" w:styleId="2188" w:customStyle="1">
    <w:name w:val="样式 标题 1 + 行距: 最小值 12 磅"/>
    <w:basedOn w:val="754"/>
    <w:next w:val="217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9" w:customStyle="1">
    <w:name w:val="_Style 224"/>
    <w:basedOn w:val="753"/>
    <w:next w:val="753"/>
    <w:uiPriority w:val="39"/>
    <w:unhideWhenUsed/>
    <w:qFormat/>
    <w:pPr>
      <w:ind w:left="2100"/>
      <w:jc w:val="left"/>
      <w:widowControl/>
    </w:pPr>
    <w:rPr>
      <w:rFonts w:ascii="Calibri" w:hAnsi="Calibri"/>
      <w:szCs w:val="22"/>
    </w:rPr>
  </w:style>
  <w:style w:type="paragraph" w:styleId="2190" w:customStyle="1">
    <w:name w:val="图中文字"/>
    <w:basedOn w:val="753"/>
    <w:next w:val="1612"/>
    <w:uiPriority w:val="0"/>
    <w:qFormat/>
    <w:pPr>
      <w:ind w:firstLine="560"/>
      <w:jc w:val="center"/>
      <w:spacing w:line="500" w:lineRule="exact"/>
      <w:widowControl/>
    </w:pPr>
    <w:rPr>
      <w:rFonts w:ascii="Calibri" w:hAnsi="Calibri" w:eastAsia="仿宋_GB2312"/>
      <w:sz w:val="28"/>
      <w:szCs w:val="20"/>
    </w:rPr>
  </w:style>
  <w:style w:type="paragraph" w:styleId="2191" w:customStyle="1">
    <w:name w:val="标题 11"/>
    <w:basedOn w:val="753"/>
    <w:next w:val="753"/>
    <w:uiPriority w:val="0"/>
    <w:qFormat/>
    <w:pPr>
      <w:keepLines/>
      <w:keepNext/>
      <w:spacing w:line="590" w:lineRule="exact"/>
      <w:outlineLvl w:val="0"/>
    </w:pPr>
    <w:rPr>
      <w:rFonts w:ascii="Calibri" w:hAnsi="Calibri" w:eastAsia="方正黑体_GBK"/>
      <w:bCs/>
      <w:sz w:val="32"/>
      <w:szCs w:val="44"/>
    </w:rPr>
  </w:style>
  <w:style w:type="paragraph" w:styleId="2192" w:customStyle="1">
    <w:name w:val="样式 标题 + 右"/>
    <w:basedOn w:val="825"/>
    <w:next w:val="2079"/>
    <w:uiPriority w:val="0"/>
    <w:qFormat/>
    <w:pPr>
      <w:ind w:left="0" w:firstLine="560"/>
      <w:jc w:val="right"/>
      <w:spacing w:line="500" w:lineRule="exact"/>
    </w:pPr>
    <w:rPr>
      <w:rFonts w:ascii="宋体" w:hAnsi="Calibri" w:eastAsia="方正小标宋_GBK" w:cs="宋体"/>
      <w:color w:val="000000"/>
      <w:sz w:val="28"/>
      <w:szCs w:val="20"/>
    </w:rPr>
  </w:style>
  <w:style w:type="paragraph" w:styleId="2193" w:customStyle="1">
    <w:name w:val="表号"/>
    <w:basedOn w:val="753"/>
    <w:next w:val="115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4" w:customStyle="1">
    <w:name w:val="表头样式"/>
    <w:basedOn w:val="753"/>
    <w:uiPriority w:val="0"/>
    <w:qFormat/>
    <w:pPr>
      <w:ind w:firstLine="560"/>
      <w:jc w:val="center"/>
      <w:keepNext/>
      <w:spacing w:line="500" w:lineRule="exact"/>
    </w:pPr>
    <w:rPr>
      <w:rFonts w:ascii="Arial" w:hAnsi="Arial" w:eastAsia="仿宋"/>
      <w:b/>
      <w:szCs w:val="21"/>
    </w:rPr>
  </w:style>
  <w:style w:type="paragraph" w:styleId="2195" w:customStyle="1">
    <w:name w:val="评估表"/>
    <w:basedOn w:val="753"/>
    <w:uiPriority w:val="0"/>
    <w:qFormat/>
    <w:pPr>
      <w:spacing w:line="240" w:lineRule="exact"/>
    </w:pPr>
    <w:rPr>
      <w:rFonts w:ascii="方正仿宋_GBK" w:hAnsi="方正仿宋_GBK" w:eastAsia="方正仿宋_GBK"/>
      <w:sz w:val="18"/>
      <w:szCs w:val="18"/>
    </w:rPr>
  </w:style>
  <w:style w:type="paragraph" w:styleId="2196" w:customStyle="1">
    <w:name w:val="Table Contents"/>
    <w:basedOn w:val="753"/>
    <w:uiPriority w:val="0"/>
    <w:qFormat/>
    <w:pPr>
      <w:ind w:firstLine="720"/>
      <w:spacing w:line="360" w:lineRule="auto"/>
      <w:suppressLineNumbers/>
    </w:pPr>
    <w:rPr>
      <w:rFonts w:ascii="仿宋" w:hAnsi="仿宋"/>
      <w:sz w:val="28"/>
      <w:lang w:eastAsia="ar-SA"/>
    </w:rPr>
  </w:style>
  <w:style w:type="paragraph" w:styleId="2197" w:customStyle="1">
    <w:name w:val="Paragraph1"/>
    <w:basedOn w:val="753"/>
    <w:next w:val="1840"/>
    <w:uiPriority w:val="0"/>
    <w:qFormat/>
    <w:pPr>
      <w:ind w:firstLine="560"/>
      <w:spacing w:before="80" w:line="500" w:lineRule="exact"/>
    </w:pPr>
    <w:rPr>
      <w:rFonts w:ascii="宋体" w:hAnsi="Calibri" w:eastAsia="仿宋"/>
      <w:sz w:val="20"/>
      <w:szCs w:val="20"/>
    </w:rPr>
  </w:style>
  <w:style w:type="paragraph" w:styleId="2198" w:customStyle="1">
    <w:name w:val="Tabletext"/>
    <w:basedOn w:val="753"/>
    <w:next w:val="1754"/>
    <w:uiPriority w:val="0"/>
    <w:qFormat/>
    <w:pPr>
      <w:ind w:firstLine="560"/>
      <w:jc w:val="left"/>
      <w:keepLines/>
      <w:spacing w:after="120" w:line="240" w:lineRule="atLeast"/>
    </w:pPr>
    <w:rPr>
      <w:rFonts w:ascii="Calibri" w:hAnsi="Calibri" w:eastAsia="仿宋"/>
      <w:sz w:val="28"/>
      <w:szCs w:val="20"/>
      <w:lang w:eastAsia="en-US"/>
    </w:rPr>
  </w:style>
  <w:style w:type="paragraph" w:styleId="2199" w:customStyle="1">
    <w:name w:val="编写建议"/>
    <w:basedOn w:val="753"/>
    <w:next w:val="839"/>
    <w:uiPriority w:val="0"/>
    <w:qFormat/>
    <w:pPr>
      <w:ind w:firstLine="420"/>
      <w:jc w:val="left"/>
      <w:spacing w:line="360" w:lineRule="auto"/>
    </w:pPr>
    <w:rPr>
      <w:rFonts w:ascii="Arial" w:hAnsi="Arial" w:cs="宋体"/>
      <w:i/>
      <w:iCs/>
      <w:color w:val="0000ff"/>
      <w:sz w:val="28"/>
      <w:lang w:eastAsia="ar-SA"/>
    </w:rPr>
  </w:style>
  <w:style w:type="paragraph" w:styleId="2200" w:customStyle="1">
    <w:name w:val="引用 Char2"/>
    <w:basedOn w:val="753"/>
    <w:uiPriority w:val="0"/>
    <w:qFormat/>
    <w:pPr>
      <w:ind w:firstLine="560"/>
      <w:spacing w:line="500" w:lineRule="exact"/>
    </w:pPr>
    <w:rPr>
      <w:rFonts w:ascii="Calibri" w:hAnsi="Calibri" w:eastAsia="仿宋"/>
      <w:sz w:val="28"/>
      <w:szCs w:val="20"/>
    </w:rPr>
  </w:style>
  <w:style w:type="paragraph" w:styleId="2201" w:customStyle="1">
    <w:name w:val="文档名称"/>
    <w:basedOn w:val="753"/>
    <w:uiPriority w:val="0"/>
    <w:qFormat/>
    <w:pPr>
      <w:ind w:firstLine="720"/>
      <w:jc w:val="center"/>
      <w:spacing w:line="360" w:lineRule="auto"/>
    </w:pPr>
    <w:rPr>
      <w:rFonts w:ascii="仿宋" w:hAnsi="仿宋" w:eastAsia="黑体"/>
      <w:b/>
      <w:sz w:val="48"/>
      <w:szCs w:val="48"/>
      <w:lang w:eastAsia="ar-SA"/>
    </w:rPr>
  </w:style>
  <w:style w:type="paragraph" w:styleId="2202" w:customStyle="1">
    <w:name w:val="explanation"/>
    <w:basedOn w:val="753"/>
    <w:next w:val="1810"/>
    <w:uiPriority w:val="0"/>
    <w:qFormat/>
    <w:pPr>
      <w:ind w:firstLine="560"/>
      <w:spacing w:line="500" w:lineRule="exact"/>
    </w:pPr>
    <w:rPr>
      <w:rFonts w:ascii="Calibri" w:hAnsi="Calibri" w:eastAsia="仿宋"/>
      <w:sz w:val="28"/>
    </w:rPr>
  </w:style>
  <w:style w:type="paragraph" w:styleId="2203" w:customStyle="1">
    <w:name w:val="左对齐的表内文字"/>
    <w:basedOn w:val="753"/>
    <w:next w:val="882"/>
    <w:uiPriority w:val="0"/>
    <w:qFormat/>
    <w:pPr>
      <w:ind w:firstLine="560"/>
      <w:spacing w:line="500" w:lineRule="exact"/>
    </w:pPr>
    <w:rPr>
      <w:rFonts w:ascii="Calibri" w:hAnsi="Calibri" w:eastAsia="仿宋_GB2312" w:cs="宋体"/>
      <w:sz w:val="28"/>
      <w:szCs w:val="20"/>
    </w:rPr>
  </w:style>
  <w:style w:type="paragraph" w:styleId="2204" w:customStyle="1">
    <w:name w:val="_Style 44"/>
    <w:next w:val="753"/>
    <w:uiPriority w:val="0"/>
    <w:qFormat/>
    <w:pPr>
      <w:jc w:val="both"/>
      <w:widowControl w:val="off"/>
    </w:pPr>
    <w:rPr>
      <w:rFonts w:ascii="Calibri" w:hAnsi="Calibri" w:eastAsia="宋体" w:cs="Times New Roman"/>
      <w:sz w:val="24"/>
      <w:szCs w:val="24"/>
      <w:lang w:val="en-US" w:eastAsia="zh-CN" w:bidi="ar-SA"/>
    </w:rPr>
  </w:style>
  <w:style w:type="paragraph" w:styleId="2205" w:customStyle="1">
    <w:name w:val="样式 标题 3 + 非加粗 倾斜"/>
    <w:basedOn w:val="756"/>
    <w:next w:val="220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6" w:customStyle="1">
    <w:name w:val="样式 标题 2 + 五号"/>
    <w:basedOn w:val="755"/>
    <w:next w:val="89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7" w:customStyle="1">
    <w:name w:val="版权申明"/>
    <w:basedOn w:val="753"/>
    <w:uiPriority w:val="0"/>
    <w:qFormat/>
    <w:pPr>
      <w:ind w:firstLine="720"/>
      <w:jc w:val="center"/>
      <w:spacing w:line="360" w:lineRule="auto"/>
    </w:pPr>
    <w:rPr>
      <w:rFonts w:ascii="宋体" w:hAnsi="宋体" w:cs="宋体"/>
      <w:b/>
      <w:bCs/>
      <w:color w:val="000000"/>
      <w:sz w:val="28"/>
      <w:szCs w:val="20"/>
      <w:lang w:eastAsia="ar-SA"/>
    </w:rPr>
  </w:style>
  <w:style w:type="paragraph" w:styleId="2208" w:customStyle="1">
    <w:name w:val="标题G"/>
    <w:basedOn w:val="825"/>
    <w:next w:val="218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9" w:customStyle="1">
    <w:name w:val="标题5"/>
    <w:basedOn w:val="753"/>
    <w:uiPriority w:val="0"/>
    <w:qFormat/>
    <w:pPr>
      <w:ind w:firstLine="560"/>
      <w:jc w:val="center"/>
      <w:spacing w:line="500" w:lineRule="exact"/>
    </w:pPr>
    <w:rPr>
      <w:rFonts w:ascii="宋体" w:hAnsi="宋体" w:eastAsia="仿宋"/>
      <w:b/>
      <w:sz w:val="52"/>
      <w:szCs w:val="22"/>
    </w:rPr>
  </w:style>
  <w:style w:type="paragraph" w:styleId="2210" w:customStyle="1">
    <w:name w:val="修订11"/>
    <w:uiPriority w:val="99"/>
    <w:qFormat/>
    <w:rPr>
      <w:rFonts w:ascii="宋体" w:hAnsi="Calibri" w:eastAsia="宋体" w:cs="Times New Roman"/>
      <w:sz w:val="21"/>
      <w:lang w:val="en-US" w:eastAsia="zh-CN" w:bidi="ar-SA"/>
    </w:rPr>
  </w:style>
  <w:style w:type="paragraph" w:styleId="221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12" w:customStyle="1">
    <w:name w:val="目录标题2"/>
    <w:basedOn w:val="754"/>
    <w:next w:val="75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3" w:customStyle="1">
    <w:name w:val="Char1 Char Char Char1"/>
    <w:basedOn w:val="753"/>
    <w:uiPriority w:val="0"/>
    <w:qFormat/>
    <w:pPr>
      <w:ind w:firstLine="560"/>
      <w:spacing w:line="500" w:lineRule="exact"/>
    </w:pPr>
    <w:rPr>
      <w:rFonts w:ascii="Tahoma" w:hAnsi="Tahoma" w:eastAsia="仿宋"/>
      <w:sz w:val="28"/>
      <w:szCs w:val="20"/>
    </w:rPr>
  </w:style>
  <w:style w:type="paragraph" w:styleId="2214" w:customStyle="1">
    <w:name w:val="Bullet Text"/>
    <w:basedOn w:val="753"/>
    <w:next w:val="2178"/>
    <w:uiPriority w:val="0"/>
    <w:qFormat/>
    <w:pPr>
      <w:ind w:left="360" w:hanging="360"/>
      <w:jc w:val="left"/>
      <w:spacing w:after="60" w:line="500" w:lineRule="exact"/>
    </w:pPr>
    <w:rPr>
      <w:rFonts w:ascii="Arial" w:hAnsi="Arial" w:eastAsia="仿宋"/>
      <w:sz w:val="20"/>
      <w:szCs w:val="20"/>
    </w:rPr>
  </w:style>
  <w:style w:type="paragraph" w:styleId="2215" w:customStyle="1">
    <w:name w:val="_Style 47"/>
    <w:basedOn w:val="753"/>
    <w:next w:val="1123"/>
    <w:uiPriority w:val="0"/>
    <w:qFormat/>
    <w:pPr>
      <w:ind w:firstLine="420"/>
      <w:jc w:val="left"/>
      <w:spacing w:line="360" w:lineRule="auto"/>
    </w:pPr>
    <w:rPr>
      <w:rFonts w:ascii="宋体" w:hAnsi="Calibri"/>
      <w:szCs w:val="20"/>
    </w:rPr>
  </w:style>
  <w:style w:type="paragraph" w:styleId="2216" w:customStyle="1">
    <w:name w:val="_Style 196"/>
    <w:basedOn w:val="753"/>
    <w:next w:val="753"/>
    <w:uiPriority w:val="0"/>
    <w:qFormat/>
    <w:pPr>
      <w:ind w:firstLine="560"/>
      <w:spacing w:line="500" w:lineRule="exact"/>
    </w:pPr>
    <w:rPr>
      <w:rFonts w:ascii="Calibri Light" w:hAnsi="Calibri Light" w:eastAsia="仿宋"/>
      <w:color w:val="000000"/>
      <w:sz w:val="28"/>
      <w:szCs w:val="20"/>
    </w:rPr>
  </w:style>
  <w:style w:type="paragraph" w:styleId="2217" w:customStyle="1">
    <w:name w:val="Contents 10"/>
    <w:basedOn w:val="2218"/>
    <w:uiPriority w:val="0"/>
    <w:qFormat/>
    <w:pPr>
      <w:ind w:left="2547"/>
      <w:tabs>
        <w:tab w:val="right" w:pos="24919" w:leader="dot"/>
      </w:tabs>
    </w:pPr>
  </w:style>
  <w:style w:type="paragraph" w:styleId="2218" w:customStyle="1">
    <w:name w:val="Index"/>
    <w:basedOn w:val="753"/>
    <w:uiPriority w:val="0"/>
    <w:qFormat/>
    <w:pPr>
      <w:ind w:firstLine="720"/>
      <w:spacing w:line="360" w:lineRule="auto"/>
      <w:suppressLineNumbers/>
    </w:pPr>
    <w:rPr>
      <w:rFonts w:ascii="仿宋" w:hAnsi="仿宋"/>
      <w:sz w:val="28"/>
      <w:lang w:eastAsia="ar-SA"/>
    </w:rPr>
  </w:style>
  <w:style w:type="paragraph" w:styleId="2219" w:customStyle="1">
    <w:name w:val="subhead1"/>
    <w:basedOn w:val="753"/>
    <w:next w:val="858"/>
    <w:uiPriority w:val="0"/>
    <w:qFormat/>
    <w:pPr>
      <w:ind w:firstLine="560"/>
      <w:jc w:val="left"/>
      <w:spacing w:line="500" w:lineRule="exact"/>
    </w:pPr>
    <w:rPr>
      <w:rFonts w:ascii="Arial" w:hAnsi="Arial" w:eastAsia="仿宋"/>
      <w:b/>
      <w:sz w:val="28"/>
      <w:szCs w:val="20"/>
    </w:rPr>
  </w:style>
  <w:style w:type="paragraph" w:styleId="2220" w:customStyle="1">
    <w:name w:val="txt"/>
    <w:basedOn w:val="753"/>
    <w:next w:val="172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1" w:customStyle="1">
    <w:name w:val="目录标题1"/>
    <w:basedOn w:val="754"/>
    <w:next w:val="75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2" w:customStyle="1">
    <w:name w:val="Header Odd"/>
    <w:basedOn w:val="2223"/>
    <w:next w:val="1776"/>
    <w:uiPriority w:val="0"/>
    <w:qFormat/>
    <w:pPr>
      <w:jc w:val="right"/>
      <w:widowControl/>
      <w:pBdr>
        <w:bottom w:val="single" w:color="4F81BD" w:sz="4" w:space="1"/>
      </w:pBdr>
    </w:pPr>
    <w:rPr>
      <w:b/>
      <w:bCs/>
      <w:color w:val="1f497d"/>
      <w:sz w:val="20"/>
      <w:szCs w:val="23"/>
    </w:rPr>
  </w:style>
  <w:style w:type="paragraph" w:styleId="222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24" w:customStyle="1">
    <w:name w:val="样式 两端对齐"/>
    <w:basedOn w:val="753"/>
    <w:next w:val="2184"/>
    <w:uiPriority w:val="0"/>
    <w:qFormat/>
    <w:pPr>
      <w:ind w:firstLine="560"/>
      <w:spacing w:line="360" w:lineRule="auto"/>
    </w:pPr>
    <w:rPr>
      <w:rFonts w:ascii="宋体" w:hAnsi="Calibri" w:eastAsia="仿宋" w:cs="宋体"/>
      <w:sz w:val="28"/>
      <w:szCs w:val="20"/>
    </w:rPr>
  </w:style>
  <w:style w:type="paragraph" w:styleId="2225" w:customStyle="1">
    <w:name w:val="样式 行距: 固定值 20 磅 首行缩进:  2 字符"/>
    <w:basedOn w:val="753"/>
    <w:next w:val="2159"/>
    <w:uiPriority w:val="0"/>
    <w:qFormat/>
    <w:pPr>
      <w:ind w:firstLine="200"/>
      <w:jc w:val="left"/>
      <w:spacing w:line="360" w:lineRule="auto"/>
    </w:pPr>
    <w:rPr>
      <w:rFonts w:ascii="宋体" w:hAnsi="Calibri" w:eastAsia="仿宋" w:cs="宋体"/>
      <w:sz w:val="28"/>
      <w:szCs w:val="20"/>
    </w:rPr>
  </w:style>
  <w:style w:type="paragraph" w:styleId="2226" w:customStyle="1">
    <w:name w:val="_Style 3"/>
    <w:basedOn w:val="753"/>
    <w:uiPriority w:val="34"/>
    <w:qFormat/>
    <w:pPr>
      <w:jc w:val="left"/>
      <w:spacing w:before="100" w:beforeAutospacing="1" w:after="100" w:afterAutospacing="1"/>
      <w:widowControl/>
    </w:pPr>
    <w:rPr>
      <w:rFonts w:ascii="宋体" w:hAnsi="宋体" w:cs="宋体"/>
      <w:sz w:val="28"/>
    </w:rPr>
  </w:style>
  <w:style w:type="paragraph" w:styleId="2227" w:customStyle="1">
    <w:name w:val="文头"/>
    <w:basedOn w:val="753"/>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8" w:customStyle="1">
    <w:name w:val="日期 Char2"/>
    <w:basedOn w:val="753"/>
    <w:uiPriority w:val="0"/>
    <w:qFormat/>
    <w:pPr>
      <w:ind w:firstLine="560"/>
      <w:spacing w:line="500" w:lineRule="exact"/>
    </w:pPr>
    <w:rPr>
      <w:rFonts w:ascii="Calibri" w:hAnsi="Calibri" w:eastAsia="仿宋"/>
      <w:sz w:val="28"/>
      <w:szCs w:val="20"/>
    </w:rPr>
  </w:style>
  <w:style w:type="paragraph" w:styleId="2229" w:customStyle="1">
    <w:name w:val="样式 正文内容 + 左侧:  0.74 厘米 首行缩进:  0.85 厘米"/>
    <w:basedOn w:val="753"/>
    <w:uiPriority w:val="0"/>
    <w:qFormat/>
    <w:pPr>
      <w:ind w:left="420" w:firstLine="480"/>
      <w:spacing w:line="380" w:lineRule="exact"/>
    </w:pPr>
    <w:rPr>
      <w:rFonts w:ascii="宋体" w:hAnsi="宋体" w:cs="宋体"/>
      <w:sz w:val="28"/>
      <w:szCs w:val="20"/>
      <w:lang w:eastAsia="ar-SA"/>
    </w:rPr>
  </w:style>
  <w:style w:type="paragraph" w:styleId="2230" w:customStyle="1">
    <w:name w:val="标题11"/>
    <w:basedOn w:val="753"/>
    <w:next w:val="75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1" w:customStyle="1">
    <w:name w:val="正文3"/>
    <w:basedOn w:val="753"/>
    <w:uiPriority w:val="0"/>
    <w:qFormat/>
    <w:pPr>
      <w:ind w:firstLine="560"/>
      <w:spacing w:line="500" w:lineRule="exact"/>
      <w:widowControl/>
    </w:pPr>
    <w:rPr>
      <w:rFonts w:ascii="Calibri" w:hAnsi="Calibri" w:eastAsia="仿宋"/>
      <w:sz w:val="28"/>
      <w:szCs w:val="20"/>
    </w:rPr>
  </w:style>
  <w:style w:type="paragraph" w:styleId="2232" w:customStyle="1">
    <w:name w:val="正文文本 Char2"/>
    <w:basedOn w:val="753"/>
    <w:uiPriority w:val="0"/>
    <w:qFormat/>
    <w:pPr>
      <w:ind w:firstLine="560"/>
      <w:spacing w:line="500" w:lineRule="exact"/>
    </w:pPr>
    <w:rPr>
      <w:rFonts w:ascii="Calibri" w:hAnsi="Calibri" w:eastAsia="仿宋"/>
      <w:sz w:val="28"/>
      <w:szCs w:val="20"/>
    </w:rPr>
  </w:style>
  <w:style w:type="paragraph" w:styleId="223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34" w:customStyle="1">
    <w:name w:val="样式 InfoBlue + 倾斜"/>
    <w:basedOn w:val="2205"/>
    <w:next w:val="2169"/>
    <w:uiPriority w:val="0"/>
    <w:qFormat/>
    <w:pPr>
      <w:ind w:left="720" w:firstLine="560"/>
      <w:keepNext w:val="0"/>
      <w:spacing w:after="120" w:line="360" w:lineRule="auto"/>
      <w:outlineLvl w:val="9"/>
    </w:pPr>
    <w:rPr>
      <w:bCs w:val="0"/>
      <w:iCs w:val="0"/>
      <w:color w:val="0000ff"/>
      <w:sz w:val="21"/>
      <w:szCs w:val="20"/>
    </w:rPr>
  </w:style>
  <w:style w:type="paragraph" w:styleId="2235" w:customStyle="1">
    <w:name w:val="Char Char Char Char Char Char Char Char Char Char Char Char Char2"/>
    <w:basedOn w:val="7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6" w:customStyle="1">
    <w:name w:val="样式 正文文本缩进 + 左侧:  2 字符 行距: 固定值 20 磅 首行缩进:  2 字符"/>
    <w:basedOn w:val="831"/>
    <w:next w:val="1621"/>
    <w:uiPriority w:val="0"/>
    <w:qFormat/>
    <w:pPr>
      <w:ind w:left="400" w:firstLine="400"/>
      <w:jc w:val="both"/>
      <w:spacing w:line="360" w:lineRule="auto"/>
    </w:pPr>
    <w:rPr>
      <w:rFonts w:cs="宋体"/>
      <w:szCs w:val="20"/>
    </w:rPr>
  </w:style>
  <w:style w:type="paragraph" w:styleId="2237" w:customStyle="1">
    <w:name w:val="正文文本4"/>
    <w:basedOn w:val="753"/>
    <w:uiPriority w:val="99"/>
    <w:qFormat/>
    <w:pPr>
      <w:jc w:val="left"/>
      <w:spacing w:after="120" w:line="288" w:lineRule="auto"/>
      <w:widowControl/>
    </w:pPr>
    <w:rPr>
      <w:rFonts w:ascii="Verdana" w:hAnsi="Verdana"/>
      <w:sz w:val="24"/>
      <w:szCs w:val="20"/>
      <w:lang w:eastAsia="en-US"/>
    </w:rPr>
  </w:style>
  <w:style w:type="paragraph" w:styleId="2238" w:customStyle="1">
    <w:name w:val="Char1 Char Char Char3"/>
    <w:basedOn w:val="753"/>
    <w:uiPriority w:val="0"/>
    <w:qFormat/>
    <w:rPr>
      <w:rFonts w:ascii="Tahoma" w:hAnsi="Tahoma"/>
      <w:sz w:val="24"/>
      <w:szCs w:val="20"/>
    </w:rPr>
  </w:style>
  <w:style w:type="paragraph" w:styleId="2239" w:customStyle="1">
    <w:name w:val="Char Char112"/>
    <w:basedOn w:val="753"/>
    <w:uiPriority w:val="0"/>
    <w:semiHidden/>
    <w:qFormat/>
    <w:pPr>
      <w:jc w:val="left"/>
      <w:spacing w:after="160" w:line="240" w:lineRule="exact"/>
      <w:widowControl/>
    </w:pPr>
    <w:rPr>
      <w:rFonts w:ascii="Verdana" w:hAnsi="Verdana"/>
      <w:sz w:val="20"/>
      <w:lang w:eastAsia="en-US"/>
    </w:rPr>
  </w:style>
  <w:style w:type="paragraph" w:styleId="2240" w:customStyle="1">
    <w:name w:val="TOC Heading1"/>
    <w:basedOn w:val="754"/>
    <w:next w:val="75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1" w:customStyle="1">
    <w:name w:val="一级项目符号"/>
    <w:basedOn w:val="753"/>
    <w:next w:val="75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2" w:customStyle="1">
    <w:name w:val="正文排列"/>
    <w:basedOn w:val="753"/>
    <w:uiPriority w:val="0"/>
    <w:qFormat/>
    <w:pPr>
      <w:ind w:left="902"/>
      <w:tabs>
        <w:tab w:val="left" w:pos="902" w:leader="none"/>
      </w:tabs>
    </w:pPr>
    <w:rPr>
      <w:rFonts w:eastAsia="仿宋"/>
      <w:sz w:val="28"/>
      <w:szCs w:val="20"/>
    </w:rPr>
  </w:style>
  <w:style w:type="paragraph" w:styleId="2243" w:customStyle="1">
    <w:name w:val="H2 List Num cont"/>
    <w:basedOn w:val="75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4" w:customStyle="1">
    <w:name w:val="number0"/>
    <w:basedOn w:val="83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5" w:customStyle="1">
    <w:name w:val="文件标题1.1"/>
    <w:basedOn w:val="75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6" w:customStyle="1">
    <w:name w:val="编号1-2"/>
    <w:basedOn w:val="753"/>
    <w:next w:val="75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7" w:customStyle="1">
    <w:name w:val="章正文 Char"/>
    <w:basedOn w:val="75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8" w:customStyle="1">
    <w:name w:val="ordinary-output"/>
    <w:basedOn w:val="75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50" w:customStyle="1">
    <w:name w:val="Char Char11"/>
    <w:basedOn w:val="753"/>
    <w:uiPriority w:val="0"/>
    <w:semiHidden/>
    <w:qFormat/>
    <w:pPr>
      <w:jc w:val="left"/>
      <w:spacing w:after="160" w:line="240" w:lineRule="exact"/>
      <w:widowControl/>
    </w:pPr>
    <w:rPr>
      <w:rFonts w:ascii="Verdana" w:hAnsi="Verdana"/>
      <w:sz w:val="20"/>
      <w:lang w:eastAsia="en-US"/>
    </w:rPr>
  </w:style>
  <w:style w:type="paragraph" w:styleId="225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5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5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54" w:customStyle="1">
    <w:name w:val="列项◆（三级）"/>
    <w:basedOn w:val="753"/>
    <w:uiPriority w:val="0"/>
    <w:qFormat/>
    <w:pPr>
      <w:ind w:left="1680" w:hanging="420"/>
    </w:pPr>
    <w:rPr>
      <w:rFonts w:ascii="宋体"/>
      <w:szCs w:val="21"/>
    </w:rPr>
  </w:style>
  <w:style w:type="paragraph" w:styleId="225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56" w:customStyle="1">
    <w:name w:val="示例×："/>
    <w:basedOn w:val="808"/>
    <w:uiPriority w:val="0"/>
    <w:qFormat/>
    <w:pPr>
      <w:ind w:left="842" w:hanging="420"/>
      <w:tabs>
        <w:tab w:val="left" w:pos="360" w:leader="none"/>
      </w:tabs>
      <w:outlineLvl w:val="9"/>
    </w:pPr>
    <w:rPr>
      <w:rFonts w:ascii="宋体" w:eastAsia="宋体"/>
      <w:sz w:val="18"/>
      <w:szCs w:val="18"/>
    </w:rPr>
  </w:style>
  <w:style w:type="paragraph" w:styleId="2257" w:customStyle="1">
    <w:name w:val="二级无"/>
    <w:basedOn w:val="1176"/>
    <w:uiPriority w:val="0"/>
    <w:qFormat/>
    <w:pPr>
      <w:ind w:left="0" w:firstLine="0"/>
      <w:jc w:val="left"/>
    </w:pPr>
    <w:rPr>
      <w:rFonts w:ascii="宋体" w:eastAsia="宋体"/>
      <w:szCs w:val="21"/>
      <w:lang w:val="zh-CN"/>
    </w:rPr>
  </w:style>
  <w:style w:type="paragraph" w:styleId="2258" w:customStyle="1">
    <w:name w:val="注：（正文）"/>
    <w:basedOn w:val="1504"/>
    <w:next w:val="809"/>
    <w:uiPriority w:val="0"/>
    <w:qFormat/>
    <w:pPr>
      <w:ind w:left="425" w:hanging="425"/>
      <w:tabs>
        <w:tab w:val="left" w:pos="425" w:leader="none"/>
      </w:tabs>
    </w:pPr>
    <w:rPr>
      <w:szCs w:val="18"/>
    </w:rPr>
  </w:style>
  <w:style w:type="paragraph" w:styleId="225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60" w:customStyle="1">
    <w:name w:val="参考文献"/>
    <w:basedOn w:val="753"/>
    <w:next w:val="80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1" w:customStyle="1">
    <w:name w:val="附录标题"/>
    <w:basedOn w:val="809"/>
    <w:next w:val="809"/>
    <w:uiPriority w:val="0"/>
    <w:qFormat/>
    <w:pPr>
      <w:ind w:firstLine="0"/>
      <w:jc w:val="center"/>
      <w:tabs>
        <w:tab w:val="center" w:pos="4201" w:leader="none"/>
        <w:tab w:val="right" w:pos="9298" w:leader="dot"/>
      </w:tabs>
    </w:pPr>
    <w:rPr>
      <w:rFonts w:ascii="黑体" w:eastAsia="黑体"/>
    </w:rPr>
  </w:style>
  <w:style w:type="paragraph" w:styleId="2262" w:customStyle="1">
    <w:name w:val="附录表标号"/>
    <w:basedOn w:val="753"/>
    <w:next w:val="809"/>
    <w:uiPriority w:val="0"/>
    <w:qFormat/>
    <w:pPr>
      <w:ind w:left="811" w:hanging="448"/>
      <w:jc w:val="center"/>
      <w:spacing w:line="14" w:lineRule="exact"/>
      <w:outlineLvl w:val="0"/>
    </w:pPr>
    <w:rPr>
      <w:color w:val="ffffff"/>
    </w:rPr>
  </w:style>
  <w:style w:type="paragraph" w:styleId="2263" w:customStyle="1">
    <w:name w:val="附录二级无"/>
    <w:basedOn w:val="1763"/>
    <w:uiPriority w:val="0"/>
    <w:qFormat/>
    <w:pPr>
      <w:ind w:left="851" w:hanging="851"/>
      <w:tabs>
        <w:tab w:val="left" w:pos="360" w:leader="none"/>
      </w:tabs>
    </w:pPr>
    <w:rPr>
      <w:rFonts w:ascii="宋体" w:eastAsia="宋体"/>
      <w:szCs w:val="21"/>
    </w:rPr>
  </w:style>
  <w:style w:type="paragraph" w:styleId="2264" w:customStyle="1">
    <w:name w:val="附录公式编号制表符"/>
    <w:basedOn w:val="753"/>
    <w:next w:val="809"/>
    <w:uiPriority w:val="0"/>
    <w:qFormat/>
    <w:pPr>
      <w:widowControl/>
      <w:tabs>
        <w:tab w:val="center" w:pos="4201" w:leader="none"/>
        <w:tab w:val="right" w:pos="9298" w:leader="dot"/>
      </w:tabs>
    </w:pPr>
    <w:rPr>
      <w:rFonts w:ascii="宋体"/>
      <w:szCs w:val="20"/>
    </w:rPr>
  </w:style>
  <w:style w:type="paragraph" w:styleId="2265" w:customStyle="1">
    <w:name w:val="附录三级无"/>
    <w:basedOn w:val="1769"/>
    <w:uiPriority w:val="0"/>
    <w:qFormat/>
    <w:pPr>
      <w:ind w:left="992" w:hanging="992"/>
      <w:tabs>
        <w:tab w:val="left" w:pos="360" w:leader="none"/>
      </w:tabs>
    </w:pPr>
    <w:rPr>
      <w:rFonts w:ascii="宋体" w:eastAsia="宋体"/>
      <w:szCs w:val="21"/>
    </w:rPr>
  </w:style>
  <w:style w:type="paragraph" w:styleId="226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67" w:customStyle="1">
    <w:name w:val="附录四级无"/>
    <w:basedOn w:val="1776"/>
    <w:uiPriority w:val="0"/>
    <w:qFormat/>
    <w:pPr>
      <w:ind w:left="1134" w:hanging="1134"/>
      <w:tabs>
        <w:tab w:val="left" w:pos="360" w:leader="none"/>
      </w:tabs>
    </w:pPr>
    <w:rPr>
      <w:rFonts w:ascii="宋体" w:eastAsia="宋体"/>
      <w:szCs w:val="21"/>
    </w:rPr>
  </w:style>
  <w:style w:type="paragraph" w:styleId="2268" w:customStyle="1">
    <w:name w:val="附录图标号"/>
    <w:basedOn w:val="753"/>
    <w:uiPriority w:val="0"/>
    <w:qFormat/>
    <w:pPr>
      <w:ind w:firstLine="363"/>
      <w:jc w:val="center"/>
      <w:keepNext/>
      <w:pageBreakBefore/>
      <w:spacing w:line="14" w:lineRule="exact"/>
      <w:widowControl/>
      <w:outlineLvl w:val="0"/>
    </w:pPr>
    <w:rPr>
      <w:color w:val="ffffff"/>
    </w:rPr>
  </w:style>
  <w:style w:type="paragraph" w:styleId="2269" w:customStyle="1">
    <w:name w:val="附录五级无"/>
    <w:basedOn w:val="1788"/>
    <w:uiPriority w:val="0"/>
    <w:qFormat/>
    <w:pPr>
      <w:ind w:left="980"/>
      <w:tabs>
        <w:tab w:val="left" w:pos="360" w:leader="none"/>
      </w:tabs>
    </w:pPr>
    <w:rPr>
      <w:rFonts w:ascii="宋体" w:eastAsia="宋体"/>
      <w:szCs w:val="21"/>
    </w:rPr>
  </w:style>
  <w:style w:type="paragraph" w:styleId="2270" w:customStyle="1">
    <w:name w:val="附录一级无"/>
    <w:basedOn w:val="1614"/>
    <w:uiPriority w:val="0"/>
    <w:qFormat/>
    <w:pPr>
      <w:ind w:left="1779" w:hanging="1069"/>
      <w:tabs>
        <w:tab w:val="left" w:pos="360" w:leader="none"/>
      </w:tabs>
    </w:pPr>
    <w:rPr>
      <w:rFonts w:ascii="宋体" w:eastAsia="宋体"/>
      <w:szCs w:val="21"/>
    </w:rPr>
  </w:style>
  <w:style w:type="paragraph" w:styleId="227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72" w:customStyle="1">
    <w:name w:val="列项说明"/>
    <w:basedOn w:val="753"/>
    <w:uiPriority w:val="0"/>
    <w:qFormat/>
    <w:pPr>
      <w:ind w:left="400" w:hanging="200"/>
      <w:jc w:val="left"/>
      <w:spacing w:line="320" w:lineRule="exact"/>
    </w:pPr>
    <w:rPr>
      <w:rFonts w:ascii="宋体"/>
      <w:szCs w:val="20"/>
    </w:rPr>
  </w:style>
  <w:style w:type="paragraph" w:styleId="227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74" w:customStyle="1">
    <w:name w:val="其他标准标志"/>
    <w:basedOn w:val="1815"/>
    <w:uiPriority w:val="0"/>
    <w:qFormat/>
    <w:pPr>
      <w:framePr w:w="6101" w:h="1389" w:vSpace="181" w:hSpace="181" w:wrap="around" w:vAnchor="page" w:hAnchor="page" w:x="4673" w:y="942" w:hRule="exact"/>
    </w:pPr>
    <w:rPr>
      <w:szCs w:val="96"/>
    </w:rPr>
  </w:style>
  <w:style w:type="paragraph" w:styleId="2275" w:customStyle="1">
    <w:name w:val="三级无"/>
    <w:basedOn w:val="1500"/>
    <w:uiPriority w:val="0"/>
    <w:qFormat/>
    <w:pPr>
      <w:jc w:val="left"/>
    </w:pPr>
    <w:rPr>
      <w:rFonts w:ascii="宋体" w:eastAsia="宋体"/>
      <w:szCs w:val="21"/>
      <w:lang w:val="zh-CN"/>
    </w:rPr>
  </w:style>
  <w:style w:type="paragraph" w:styleId="2276" w:customStyle="1">
    <w:name w:val="示例后文字"/>
    <w:basedOn w:val="809"/>
    <w:next w:val="809"/>
    <w:uiPriority w:val="0"/>
    <w:qFormat/>
    <w:pPr>
      <w:ind w:firstLine="360"/>
      <w:tabs>
        <w:tab w:val="center" w:pos="4201" w:leader="none"/>
        <w:tab w:val="right" w:pos="9298" w:leader="dot"/>
      </w:tabs>
    </w:pPr>
    <w:rPr>
      <w:sz w:val="18"/>
    </w:rPr>
  </w:style>
  <w:style w:type="paragraph" w:styleId="2277" w:customStyle="1">
    <w:name w:val="四级无"/>
    <w:basedOn w:val="1652"/>
    <w:uiPriority w:val="0"/>
    <w:qFormat/>
    <w:pPr>
      <w:jc w:val="left"/>
    </w:pPr>
    <w:rPr>
      <w:rFonts w:ascii="宋体" w:eastAsia="宋体"/>
      <w:szCs w:val="21"/>
      <w:lang w:val="zh-CN"/>
    </w:rPr>
  </w:style>
  <w:style w:type="paragraph" w:styleId="2278" w:customStyle="1">
    <w:name w:val="图标脚注说明"/>
    <w:basedOn w:val="809"/>
    <w:uiPriority w:val="0"/>
    <w:qFormat/>
    <w:pPr>
      <w:ind w:left="840" w:hanging="420"/>
      <w:tabs>
        <w:tab w:val="center" w:pos="4201" w:leader="none"/>
        <w:tab w:val="right" w:pos="9298" w:leader="dot"/>
      </w:tabs>
    </w:pPr>
    <w:rPr>
      <w:sz w:val="18"/>
      <w:szCs w:val="18"/>
    </w:rPr>
  </w:style>
  <w:style w:type="paragraph" w:styleId="2279" w:customStyle="1">
    <w:name w:val="图表脚注说明"/>
    <w:basedOn w:val="753"/>
    <w:uiPriority w:val="0"/>
    <w:qFormat/>
    <w:pPr>
      <w:ind w:left="811" w:hanging="448"/>
    </w:pPr>
    <w:rPr>
      <w:rFonts w:ascii="宋体"/>
      <w:sz w:val="18"/>
      <w:szCs w:val="18"/>
    </w:rPr>
  </w:style>
  <w:style w:type="paragraph" w:styleId="2280" w:customStyle="1">
    <w:name w:val="图的脚注"/>
    <w:next w:val="809"/>
    <w:uiPriority w:val="0"/>
    <w:qFormat/>
    <w:pPr>
      <w:ind w:left="840" w:hanging="420"/>
      <w:jc w:val="both"/>
      <w:widowControl w:val="off"/>
    </w:pPr>
    <w:rPr>
      <w:rFonts w:ascii="宋体" w:hAnsi="Times New Roman" w:eastAsia="宋体" w:cs="Times New Roman"/>
      <w:sz w:val="18"/>
      <w:lang w:val="en-US" w:eastAsia="zh-CN" w:bidi="ar-SA"/>
    </w:rPr>
  </w:style>
  <w:style w:type="paragraph" w:styleId="2281" w:customStyle="1">
    <w:name w:val="五级无"/>
    <w:basedOn w:val="1715"/>
    <w:uiPriority w:val="0"/>
    <w:qFormat/>
    <w:pPr>
      <w:jc w:val="left"/>
    </w:pPr>
    <w:rPr>
      <w:rFonts w:ascii="宋体" w:eastAsia="宋体"/>
      <w:szCs w:val="21"/>
      <w:lang w:val="zh-CN"/>
    </w:rPr>
  </w:style>
  <w:style w:type="paragraph" w:styleId="2282" w:customStyle="1">
    <w:name w:val="一级无"/>
    <w:basedOn w:val="807"/>
    <w:uiPriority w:val="0"/>
    <w:qFormat/>
    <w:pPr>
      <w:ind w:left="0" w:firstLine="0"/>
      <w:jc w:val="left"/>
    </w:pPr>
    <w:rPr>
      <w:rFonts w:ascii="宋体" w:eastAsia="宋体"/>
      <w:szCs w:val="21"/>
    </w:rPr>
  </w:style>
  <w:style w:type="paragraph" w:styleId="2283" w:customStyle="1">
    <w:name w:val="正文公式编号制表符"/>
    <w:basedOn w:val="809"/>
    <w:next w:val="809"/>
    <w:uiPriority w:val="0"/>
    <w:qFormat/>
    <w:pPr>
      <w:ind w:firstLine="0"/>
      <w:tabs>
        <w:tab w:val="center" w:pos="4201" w:leader="none"/>
        <w:tab w:val="right" w:pos="9298" w:leader="dot"/>
      </w:tabs>
    </w:pPr>
  </w:style>
  <w:style w:type="paragraph" w:styleId="2284" w:customStyle="1">
    <w:name w:val="终结线"/>
    <w:basedOn w:val="753"/>
    <w:uiPriority w:val="0"/>
    <w:qFormat/>
    <w:pPr>
      <w:framePr w:vSpace="181" w:hSpace="181" w:wrap="around" w:vAnchor="text" w:hAnchor="margin" w:xAlign="center" w:y="285"/>
    </w:pPr>
  </w:style>
  <w:style w:type="paragraph" w:styleId="2285" w:customStyle="1">
    <w:name w:val="其他发布日期"/>
    <w:basedOn w:val="1643"/>
    <w:uiPriority w:val="0"/>
    <w:qFormat/>
    <w:pPr>
      <w:framePr w:w="3997" w:h="471" w:vSpace="181" w:hSpace="0" w:wrap="around" w:vAnchor="page" w:hAnchor="page" w:x="1419" w:y="14097" w:hRule="exact"/>
    </w:pPr>
  </w:style>
  <w:style w:type="paragraph" w:styleId="2286" w:customStyle="1">
    <w:name w:val="其他实施日期"/>
    <w:basedOn w:val="1642"/>
    <w:uiPriority w:val="0"/>
    <w:qFormat/>
    <w:pPr>
      <w:ind w:left="0" w:firstLine="0"/>
      <w:framePr w:w="3997" w:h="471" w:vSpace="181" w:wrap="around" w:vAnchor="page" w:hAnchor="page" w:x="7089" w:y="14097" w:hRule="exact"/>
    </w:pPr>
  </w:style>
  <w:style w:type="paragraph" w:styleId="2287" w:customStyle="1">
    <w:name w:val="封面标准名称2"/>
    <w:basedOn w:val="1894"/>
    <w:uiPriority w:val="0"/>
    <w:qFormat/>
    <w:pPr>
      <w:framePr w:w="9639" w:wrap="around" w:vAnchor="page" w:hAnchor="page" w:y="4469"/>
    </w:pPr>
  </w:style>
  <w:style w:type="paragraph" w:styleId="2288" w:customStyle="1">
    <w:name w:val="封面标准英文名称2"/>
    <w:basedOn w:val="1694"/>
    <w:uiPriority w:val="0"/>
    <w:qFormat/>
    <w:pPr>
      <w:framePr w:w="9639" w:h="6917" w:wrap="around" w:vAnchor="page" w:hAnchor="page" w:xAlign="center" w:y="4469" w:hRule="exact"/>
    </w:pPr>
    <w:rPr>
      <w:rFonts w:eastAsia="黑体"/>
      <w:szCs w:val="28"/>
    </w:rPr>
  </w:style>
  <w:style w:type="paragraph" w:styleId="2289" w:customStyle="1">
    <w:name w:val="封面一致性程度标识2"/>
    <w:basedOn w:val="2076"/>
    <w:uiPriority w:val="0"/>
    <w:qFormat/>
    <w:pPr>
      <w:widowControl w:val="off"/>
      <w:framePr w:w="9639" w:h="6917" w:wrap="around" w:vAnchor="page" w:hAnchor="page" w:xAlign="center" w:y="4469" w:hRule="exact"/>
    </w:pPr>
    <w:rPr>
      <w:szCs w:val="28"/>
    </w:rPr>
  </w:style>
  <w:style w:type="paragraph" w:styleId="2290" w:customStyle="1">
    <w:name w:val="封面标准文稿类别2"/>
    <w:basedOn w:val="1950"/>
    <w:uiPriority w:val="0"/>
    <w:qFormat/>
    <w:pPr>
      <w:spacing w:after="160" w:line="240" w:lineRule="auto"/>
      <w:widowControl w:val="off"/>
      <w:framePr w:w="9639" w:h="6917" w:wrap="around" w:vAnchor="page" w:hAnchor="page" w:xAlign="center" w:y="4469" w:hRule="exact"/>
    </w:pPr>
    <w:rPr>
      <w:szCs w:val="28"/>
    </w:rPr>
  </w:style>
  <w:style w:type="paragraph" w:styleId="2291" w:customStyle="1">
    <w:name w:val="封面标准文稿编辑信息2"/>
    <w:basedOn w:val="2118"/>
    <w:uiPriority w:val="0"/>
    <w:qFormat/>
    <w:pPr>
      <w:spacing w:after="160"/>
      <w:widowControl w:val="off"/>
      <w:framePr w:w="9639" w:h="6917" w:wrap="around" w:vAnchor="page" w:hAnchor="page" w:xAlign="center" w:y="4469" w:hRule="exact"/>
    </w:pPr>
    <w:rPr>
      <w:szCs w:val="28"/>
    </w:rPr>
  </w:style>
  <w:style w:type="paragraph" w:styleId="229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93" w:customStyle="1">
    <w:name w:val="封面正文内容"/>
    <w:basedOn w:val="753"/>
    <w:next w:val="753"/>
    <w:uiPriority w:val="0"/>
    <w:qFormat/>
    <w:rPr>
      <w:rFonts w:ascii="宋体" w:hAnsi="宋体" w:cs="宋体"/>
      <w:sz w:val="30"/>
      <w:szCs w:val="30"/>
    </w:rPr>
  </w:style>
  <w:style w:type="paragraph" w:styleId="2294" w:customStyle="1">
    <w:name w:val="a"/>
    <w:basedOn w:val="753"/>
    <w:uiPriority w:val="0"/>
    <w:qFormat/>
    <w:pPr>
      <w:jc w:val="left"/>
      <w:spacing w:before="100" w:beforeAutospacing="1" w:after="100" w:afterAutospacing="1"/>
      <w:widowControl/>
    </w:pPr>
    <w:rPr>
      <w:rFonts w:ascii="宋体" w:hAnsi="宋体" w:cs="宋体"/>
      <w:sz w:val="24"/>
    </w:rPr>
  </w:style>
  <w:style w:type="paragraph" w:styleId="2295" w:customStyle="1">
    <w:name w:val="方框下的ABC标题"/>
    <w:basedOn w:val="753"/>
    <w:uiPriority w:val="0"/>
    <w:qFormat/>
    <w:pPr>
      <w:spacing w:line="360" w:lineRule="auto"/>
    </w:pPr>
    <w:rPr>
      <w:rFonts w:hAnsi="宋体"/>
    </w:rPr>
  </w:style>
  <w:style w:type="paragraph" w:styleId="2296" w:customStyle="1">
    <w:name w:val="SUR-方框下的ABC标题"/>
    <w:basedOn w:val="753"/>
    <w:uiPriority w:val="0"/>
    <w:qFormat/>
    <w:pPr>
      <w:ind w:left="726" w:hanging="363"/>
      <w:jc w:val="left"/>
      <w:spacing w:line="360" w:lineRule="auto"/>
      <w:tabs>
        <w:tab w:val="left" w:pos="1140" w:leader="none"/>
      </w:tabs>
    </w:pPr>
    <w:rPr>
      <w:szCs w:val="20"/>
      <w:lang w:eastAsia="en-US"/>
    </w:rPr>
  </w:style>
  <w:style w:type="paragraph" w:styleId="229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98" w:customStyle="1">
    <w:name w:val="D标题二"/>
    <w:basedOn w:val="2297"/>
    <w:next w:val="2297"/>
    <w:uiPriority w:val="0"/>
    <w:qFormat/>
    <w:rPr>
      <w:rFonts w:eastAsia="黑体"/>
    </w:rPr>
  </w:style>
  <w:style w:type="paragraph" w:styleId="2299" w:customStyle="1">
    <w:name w:val="点对点应答文字"/>
    <w:basedOn w:val="753"/>
    <w:uiPriority w:val="0"/>
    <w:qFormat/>
    <w:pPr>
      <w:jc w:val="left"/>
      <w:spacing w:line="360" w:lineRule="auto"/>
    </w:pPr>
    <w:rPr>
      <w:i/>
      <w:color w:val="0000ff"/>
      <w:szCs w:val="20"/>
      <w:lang w:eastAsia="en-US"/>
    </w:rPr>
  </w:style>
  <w:style w:type="paragraph" w:styleId="2300" w:customStyle="1">
    <w:name w:val="SUR-方框标题"/>
    <w:basedOn w:val="753"/>
    <w:uiPriority w:val="0"/>
    <w:qFormat/>
    <w:pPr>
      <w:jc w:val="left"/>
      <w:spacing w:line="360" w:lineRule="auto"/>
    </w:pPr>
    <w:rPr>
      <w:szCs w:val="20"/>
      <w:lang w:eastAsia="en-US"/>
    </w:rPr>
  </w:style>
  <w:style w:type="paragraph" w:styleId="2301" w:customStyle="1">
    <w:name w:val="表内文字"/>
    <w:uiPriority w:val="0"/>
    <w:qFormat/>
    <w:rPr>
      <w:rFonts w:ascii="Times New Roman" w:hAnsi="Times New Roman" w:eastAsia="宋体" w:cs="Times New Roman"/>
      <w:sz w:val="21"/>
      <w:lang w:val="en-US" w:eastAsia="zh-CN" w:bidi="ar-SA"/>
    </w:rPr>
  </w:style>
  <w:style w:type="paragraph" w:styleId="2302" w:customStyle="1">
    <w:name w:val="示意图说明"/>
    <w:basedOn w:val="753"/>
    <w:next w:val="766"/>
    <w:uiPriority w:val="0"/>
    <w:qFormat/>
    <w:pPr>
      <w:jc w:val="center"/>
      <w:spacing w:line="360" w:lineRule="auto"/>
    </w:pPr>
    <w:rPr>
      <w:rFonts w:eastAsia="黑体"/>
      <w:szCs w:val="20"/>
      <w:lang w:eastAsia="en-US"/>
    </w:rPr>
  </w:style>
  <w:style w:type="paragraph" w:styleId="2303" w:customStyle="1">
    <w:name w:val="方框标题"/>
    <w:basedOn w:val="753"/>
    <w:next w:val="753"/>
    <w:uiPriority w:val="0"/>
    <w:qFormat/>
    <w:pPr>
      <w:ind w:firstLine="397"/>
      <w:spacing w:line="360" w:lineRule="auto"/>
      <w:tabs>
        <w:tab w:val="left" w:pos="420" w:leader="none"/>
      </w:tabs>
    </w:pPr>
    <w:rPr>
      <w:rFonts w:eastAsia="黑体"/>
    </w:rPr>
  </w:style>
  <w:style w:type="paragraph" w:styleId="230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05" w:customStyle="1">
    <w:name w:val="MM Topic 1"/>
    <w:basedOn w:val="7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6" w:customStyle="1">
    <w:name w:val="MM Topic 3"/>
    <w:basedOn w:val="756"/>
    <w:uiPriority w:val="0"/>
    <w:qFormat/>
    <w:pPr>
      <w:ind w:left="420" w:hanging="420"/>
      <w:tabs>
        <w:tab w:val="left" w:pos="0" w:leader="none"/>
      </w:tabs>
    </w:pPr>
    <w:rPr>
      <w:rFonts w:ascii="Calibri" w:hAnsi="Calibri"/>
      <w:bCs/>
      <w:szCs w:val="32"/>
      <w:lang w:val="zh-CN"/>
    </w:rPr>
  </w:style>
  <w:style w:type="paragraph" w:styleId="2307" w:customStyle="1">
    <w:name w:val="p15"/>
    <w:basedOn w:val="753"/>
    <w:uiPriority w:val="0"/>
    <w:qFormat/>
    <w:pPr>
      <w:jc w:val="left"/>
      <w:spacing w:before="156" w:after="156"/>
      <w:widowControl/>
    </w:pPr>
    <w:rPr>
      <w:rFonts w:ascii="黑体" w:hAnsi="黑体" w:eastAsia="黑体" w:cs="宋体"/>
      <w:szCs w:val="21"/>
    </w:rPr>
  </w:style>
  <w:style w:type="paragraph" w:styleId="2308" w:customStyle="1">
    <w:name w:val="p16"/>
    <w:basedOn w:val="753"/>
    <w:uiPriority w:val="0"/>
    <w:qFormat/>
    <w:pPr>
      <w:ind w:firstLine="420"/>
      <w:widowControl/>
    </w:pPr>
    <w:rPr>
      <w:rFonts w:ascii="宋体" w:hAnsi="宋体" w:cs="宋体"/>
      <w:sz w:val="20"/>
      <w:szCs w:val="20"/>
    </w:rPr>
  </w:style>
  <w:style w:type="paragraph" w:styleId="2309" w:customStyle="1">
    <w:name w:val="p17"/>
    <w:basedOn w:val="753"/>
    <w:uiPriority w:val="0"/>
    <w:qFormat/>
    <w:pPr>
      <w:jc w:val="center"/>
      <w:spacing w:before="156" w:after="156"/>
      <w:widowControl/>
    </w:pPr>
    <w:rPr>
      <w:rFonts w:ascii="黑体" w:hAnsi="黑体" w:eastAsia="黑体" w:cs="宋体"/>
      <w:szCs w:val="21"/>
    </w:rPr>
  </w:style>
  <w:style w:type="paragraph" w:styleId="2310" w:customStyle="1">
    <w:name w:val="0-投标正文"/>
    <w:basedOn w:val="7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1" w:customStyle="1">
    <w:name w:val="网格型1"/>
    <w:basedOn w:val="817"/>
    <w:uiPriority w:val="39"/>
    <w:qFormat/>
    <w:tblPr>
      <w:tblCellMar>
        <w:left w:w="0" w:type="dxa"/>
        <w:top w:w="0" w:type="dxa"/>
        <w:right w:w="0" w:type="dxa"/>
        <w:bottom w:w="0" w:type="dxa"/>
      </w:tblCellMar>
    </w:tblPr>
  </w:style>
  <w:style w:type="table" w:styleId="2312" w:customStyle="1">
    <w:name w:val="网格型2"/>
    <w:basedOn w:val="817"/>
    <w:uiPriority w:val="39"/>
    <w:qFormat/>
    <w:tblPr>
      <w:tblCellMar>
        <w:left w:w="0" w:type="dxa"/>
        <w:top w:w="0" w:type="dxa"/>
        <w:right w:w="0" w:type="dxa"/>
        <w:bottom w:w="0" w:type="dxa"/>
      </w:tblCellMar>
    </w:tblPr>
  </w:style>
  <w:style w:type="table" w:styleId="2313" w:customStyle="1">
    <w:name w:val="网格型11"/>
    <w:basedOn w:val="817"/>
    <w:uiPriority w:val="39"/>
    <w:qFormat/>
    <w:pPr>
      <w:jc w:val="both"/>
      <w:widowControl w:val="off"/>
    </w:pPr>
    <w:tblPr>
      <w:tblCellMar>
        <w:left w:w="0" w:type="dxa"/>
        <w:top w:w="0" w:type="dxa"/>
        <w:right w:w="0" w:type="dxa"/>
        <w:bottom w:w="0" w:type="dxa"/>
      </w:tblCellMar>
    </w:tblPr>
  </w:style>
  <w:style w:type="table" w:styleId="2314" w:customStyle="1">
    <w:name w:val="网格型21"/>
    <w:basedOn w:val="817"/>
    <w:uiPriority w:val="39"/>
    <w:qFormat/>
    <w:pPr>
      <w:jc w:val="both"/>
      <w:widowControl w:val="off"/>
    </w:pPr>
    <w:tblPr>
      <w:tblCellMar>
        <w:left w:w="0" w:type="dxa"/>
        <w:top w:w="0" w:type="dxa"/>
        <w:right w:w="0" w:type="dxa"/>
        <w:bottom w:w="0" w:type="dxa"/>
      </w:tblCellMar>
    </w:tblPr>
  </w:style>
  <w:style w:type="table" w:styleId="2315" w:customStyle="1">
    <w:name w:val="网格型3"/>
    <w:basedOn w:val="817"/>
    <w:uiPriority w:val="59"/>
    <w:qFormat/>
    <w:tblPr>
      <w:tblCellMar>
        <w:left w:w="0" w:type="dxa"/>
        <w:top w:w="0" w:type="dxa"/>
        <w:right w:w="0" w:type="dxa"/>
        <w:bottom w:w="0" w:type="dxa"/>
      </w:tblCellMar>
    </w:tblPr>
  </w:style>
  <w:style w:type="table" w:styleId="2316" w:customStyle="1">
    <w:name w:val="网格型12"/>
    <w:basedOn w:val="817"/>
    <w:uiPriority w:val="39"/>
    <w:qFormat/>
    <w:pPr>
      <w:jc w:val="both"/>
      <w:widowControl w:val="off"/>
    </w:pPr>
    <w:tblPr>
      <w:tblCellMar>
        <w:left w:w="0" w:type="dxa"/>
        <w:top w:w="0" w:type="dxa"/>
        <w:right w:w="0" w:type="dxa"/>
        <w:bottom w:w="0" w:type="dxa"/>
      </w:tblCellMar>
    </w:tblPr>
  </w:style>
  <w:style w:type="table" w:styleId="2317" w:customStyle="1">
    <w:name w:val="网格型22"/>
    <w:basedOn w:val="817"/>
    <w:uiPriority w:val="39"/>
    <w:qFormat/>
    <w:pPr>
      <w:jc w:val="both"/>
      <w:widowControl w:val="off"/>
    </w:pPr>
    <w:tblPr>
      <w:tblCellMar>
        <w:left w:w="0" w:type="dxa"/>
        <w:top w:w="0" w:type="dxa"/>
        <w:right w:w="0" w:type="dxa"/>
        <w:bottom w:w="0" w:type="dxa"/>
      </w:tblCellMar>
    </w:tblPr>
  </w:style>
  <w:style w:type="table" w:styleId="2318" w:customStyle="1">
    <w:name w:val="网格型4"/>
    <w:basedOn w:val="817"/>
    <w:uiPriority w:val="59"/>
    <w:qFormat/>
    <w:tblPr>
      <w:tblCellMar>
        <w:left w:w="0" w:type="dxa"/>
        <w:top w:w="0" w:type="dxa"/>
        <w:right w:w="0" w:type="dxa"/>
        <w:bottom w:w="0" w:type="dxa"/>
      </w:tblCellMar>
    </w:tblPr>
  </w:style>
  <w:style w:type="table" w:styleId="2319" w:customStyle="1">
    <w:name w:val="网格型13"/>
    <w:basedOn w:val="817"/>
    <w:uiPriority w:val="39"/>
    <w:qFormat/>
    <w:pPr>
      <w:jc w:val="both"/>
      <w:widowControl w:val="off"/>
    </w:pPr>
    <w:tblPr>
      <w:tblCellMar>
        <w:left w:w="0" w:type="dxa"/>
        <w:top w:w="0" w:type="dxa"/>
        <w:right w:w="0" w:type="dxa"/>
        <w:bottom w:w="0" w:type="dxa"/>
      </w:tblCellMar>
    </w:tblPr>
  </w:style>
  <w:style w:type="table" w:styleId="2320" w:customStyle="1">
    <w:name w:val="网格型23"/>
    <w:basedOn w:val="817"/>
    <w:uiPriority w:val="39"/>
    <w:qFormat/>
    <w:pPr>
      <w:jc w:val="both"/>
      <w:widowControl w:val="off"/>
    </w:pPr>
    <w:tblPr>
      <w:tblCellMar>
        <w:left w:w="0" w:type="dxa"/>
        <w:top w:w="0" w:type="dxa"/>
        <w:right w:w="0" w:type="dxa"/>
        <w:bottom w:w="0" w:type="dxa"/>
      </w:tblCellMar>
    </w:tblPr>
  </w:style>
  <w:style w:type="table" w:styleId="2321" w:customStyle="1">
    <w:name w:val="网格型5"/>
    <w:basedOn w:val="817"/>
    <w:uiPriority w:val="59"/>
    <w:qFormat/>
    <w:tblPr>
      <w:tblCellMar>
        <w:left w:w="0" w:type="dxa"/>
        <w:top w:w="0" w:type="dxa"/>
        <w:right w:w="0" w:type="dxa"/>
        <w:bottom w:w="0" w:type="dxa"/>
      </w:tblCellMar>
    </w:tblPr>
  </w:style>
  <w:style w:type="table" w:styleId="2322" w:customStyle="1">
    <w:name w:val="网格型6"/>
    <w:basedOn w:val="817"/>
    <w:uiPriority w:val="59"/>
    <w:qFormat/>
    <w:tblPr>
      <w:tblCellMar>
        <w:left w:w="0" w:type="dxa"/>
        <w:top w:w="0" w:type="dxa"/>
        <w:right w:w="0" w:type="dxa"/>
        <w:bottom w:w="0" w:type="dxa"/>
      </w:tblCellMar>
    </w:tblPr>
  </w:style>
  <w:style w:type="table" w:styleId="2323" w:customStyle="1">
    <w:name w:val="网格型14"/>
    <w:basedOn w:val="817"/>
    <w:uiPriority w:val="39"/>
    <w:qFormat/>
    <w:pPr>
      <w:jc w:val="both"/>
      <w:widowControl w:val="off"/>
    </w:pPr>
    <w:tblPr>
      <w:tblCellMar>
        <w:left w:w="0" w:type="dxa"/>
        <w:top w:w="0" w:type="dxa"/>
        <w:right w:w="0" w:type="dxa"/>
        <w:bottom w:w="0" w:type="dxa"/>
      </w:tblCellMar>
    </w:tblPr>
  </w:style>
  <w:style w:type="table" w:styleId="2324" w:customStyle="1">
    <w:name w:val="网格型24"/>
    <w:basedOn w:val="817"/>
    <w:uiPriority w:val="39"/>
    <w:qFormat/>
    <w:pPr>
      <w:jc w:val="both"/>
      <w:widowControl w:val="off"/>
    </w:pPr>
    <w:tblPr>
      <w:tblCellMar>
        <w:left w:w="0" w:type="dxa"/>
        <w:top w:w="0" w:type="dxa"/>
        <w:right w:w="0" w:type="dxa"/>
        <w:bottom w:w="0" w:type="dxa"/>
      </w:tblCellMar>
    </w:tblPr>
  </w:style>
  <w:style w:type="table" w:styleId="2325" w:customStyle="1">
    <w:name w:val="网格型7"/>
    <w:basedOn w:val="817"/>
    <w:uiPriority w:val="59"/>
    <w:qFormat/>
    <w:tblPr>
      <w:tblCellMar>
        <w:left w:w="0" w:type="dxa"/>
        <w:top w:w="0" w:type="dxa"/>
        <w:right w:w="0" w:type="dxa"/>
        <w:bottom w:w="0" w:type="dxa"/>
      </w:tblCellMar>
    </w:tblPr>
  </w:style>
  <w:style w:type="table" w:styleId="2326" w:customStyle="1">
    <w:name w:val="网格型8"/>
    <w:basedOn w:val="817"/>
    <w:uiPriority w:val="59"/>
    <w:qFormat/>
    <w:rPr>
      <w:rFonts w:ascii="Calibri" w:hAnsi="Calibri"/>
    </w:rPr>
    <w:tblPr>
      <w:tblCellMar>
        <w:left w:w="0" w:type="dxa"/>
        <w:top w:w="0" w:type="dxa"/>
        <w:right w:w="0" w:type="dxa"/>
        <w:bottom w:w="0" w:type="dxa"/>
      </w:tblCellMar>
    </w:tblPr>
  </w:style>
  <w:style w:type="character" w:styleId="2327" w:customStyle="1">
    <w:name w:val="普通(网站) Char"/>
    <w:uiPriority w:val="0"/>
    <w:qFormat/>
    <w:rPr>
      <w:rFonts w:ascii="宋体" w:hAnsi="宋体" w:cs="宋体"/>
      <w:color w:val="000000"/>
      <w:sz w:val="24"/>
      <w:szCs w:val="24"/>
    </w:rPr>
  </w:style>
  <w:style w:type="character" w:styleId="2328" w:customStyle="1">
    <w:name w:val="正文缩进 Char"/>
    <w:uiPriority w:val="0"/>
    <w:qFormat/>
    <w:rPr>
      <w:rFonts w:eastAsia="宋体"/>
      <w:sz w:val="21"/>
      <w:lang w:val="en-US" w:eastAsia="zh-CN" w:bidi="ar-SA"/>
    </w:rPr>
  </w:style>
  <w:style w:type="paragraph" w:styleId="2329" w:customStyle="1">
    <w:name w:val="Andy_正文格式"/>
    <w:basedOn w:val="753"/>
    <w:uiPriority w:val="0"/>
    <w:qFormat/>
    <w:pPr>
      <w:ind w:firstLine="560"/>
      <w:jc w:val="left"/>
    </w:pPr>
    <w:rPr>
      <w:rFonts w:ascii="仿宋_GB2312" w:eastAsia="仿宋_GB2312"/>
      <w:sz w:val="28"/>
      <w:szCs w:val="28"/>
    </w:rPr>
  </w:style>
  <w:style w:type="character" w:styleId="2330" w:customStyle="1">
    <w:name w:val="p141"/>
    <w:uiPriority w:val="0"/>
    <w:qFormat/>
    <w:rPr>
      <w:sz w:val="21"/>
      <w:szCs w:val="21"/>
    </w:rPr>
  </w:style>
  <w:style w:type="character" w:styleId="2331" w:customStyle="1">
    <w:name w:val="标题 3 字符"/>
    <w:uiPriority w:val="0"/>
    <w:qFormat/>
    <w:rPr>
      <w:b/>
      <w:sz w:val="32"/>
    </w:rPr>
  </w:style>
  <w:style w:type="paragraph" w:styleId="233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33" w:customStyle="1">
    <w:name w:val="px_10"/>
    <w:basedOn w:val="816"/>
    <w:uiPriority w:val="0"/>
    <w:qFormat/>
  </w:style>
  <w:style w:type="paragraph" w:styleId="2334"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35" w:customStyle="1">
    <w:name w:val="text-tag"/>
    <w:basedOn w:val="753"/>
    <w:uiPriority w:val="99"/>
    <w:semiHidden/>
    <w:qFormat/>
    <w:pPr>
      <w:jc w:val="left"/>
      <w:spacing w:before="100" w:beforeAutospacing="1" w:after="100" w:afterAutospacing="1"/>
      <w:widowControl/>
    </w:pPr>
    <w:rPr>
      <w:rFonts w:ascii="宋体" w:hAnsi="宋体" w:cs="宋体"/>
      <w:sz w:val="24"/>
    </w:rPr>
  </w:style>
  <w:style w:type="paragraph" w:styleId="2336" w:customStyle="1">
    <w:name w:val="_Style 1379"/>
    <w:basedOn w:val="753"/>
    <w:next w:val="753"/>
    <w:uiPriority w:val="0"/>
    <w:qFormat/>
    <w:pPr>
      <w:jc w:val="center"/>
      <w:pBdr>
        <w:bottom w:val="single" w:color="000000" w:sz="6" w:space="1"/>
      </w:pBdr>
    </w:pPr>
    <w:rPr>
      <w:rFonts w:ascii="Arial"/>
      <w:vanish/>
      <w:sz w:val="16"/>
    </w:rPr>
  </w:style>
  <w:style w:type="paragraph" w:styleId="2337" w:customStyle="1">
    <w:name w:val="_Style 1380"/>
    <w:basedOn w:val="753"/>
    <w:next w:val="753"/>
    <w:uiPriority w:val="0"/>
    <w:qFormat/>
    <w:pPr>
      <w:jc w:val="center"/>
      <w:pBdr>
        <w:top w:val="single" w:color="000000" w:sz="6" w:space="1"/>
      </w:pBdr>
    </w:pPr>
    <w:rPr>
      <w:rFonts w:ascii="Arial"/>
      <w:vanish/>
      <w:sz w:val="16"/>
    </w:rPr>
  </w:style>
  <w:style w:type="paragraph" w:styleId="2338"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339" w:customStyle="1">
    <w:name w:val="索引 11"/>
    <w:basedOn w:val="753"/>
    <w:next w:val="753"/>
    <w:uiPriority w:val="99"/>
    <w:qFormat/>
    <w:pPr>
      <w:spacing w:line="360" w:lineRule="auto"/>
    </w:pPr>
    <w:rPr>
      <w:rFonts w:ascii="仿宋_GB2312" w:eastAsia="仿宋_GB2312"/>
      <w:sz w:val="24"/>
      <w:szCs w:val="20"/>
    </w:rPr>
  </w:style>
  <w:style w:type="paragraph" w:styleId="2340" w:customStyle="1">
    <w:name w:val="修订2"/>
    <w:uiPriority w:val="99"/>
    <w:unhideWhenUsed/>
    <w:qFormat/>
    <w:rPr>
      <w:rFonts w:ascii="Times New Roman" w:hAnsi="Times New Roman" w:eastAsia="宋体" w:cs="Times New Roman"/>
      <w:sz w:val="21"/>
      <w:szCs w:val="24"/>
      <w:lang w:val="en-US" w:eastAsia="zh-CN" w:bidi="ar-SA"/>
    </w:rPr>
  </w:style>
  <w:style w:type="paragraph" w:styleId="2341" w:customStyle="1">
    <w:name w:val="Normal_1"/>
    <w:uiPriority w:val="0"/>
    <w:qFormat/>
    <w:pPr>
      <w:jc w:val="both"/>
      <w:widowControl w:val="off"/>
    </w:pPr>
    <w:rPr>
      <w:rFonts w:ascii="Calibri" w:hAnsi="Calibri" w:eastAsia="宋体" w:cs="Times New Roman"/>
      <w:lang w:val="en-US" w:eastAsia="zh-CN" w:bidi="ar-SA"/>
    </w:rPr>
  </w:style>
  <w:style w:type="paragraph" w:styleId="2342" w:customStyle="1">
    <w:name w:val="Normal_21"/>
    <w:uiPriority w:val="0"/>
    <w:qFormat/>
    <w:rPr>
      <w:rFonts w:ascii="Times New Roman" w:hAnsi="Times New Roman" w:eastAsia="Times New Roman" w:cs="Times New Roman"/>
      <w:sz w:val="24"/>
      <w:szCs w:val="24"/>
      <w:lang w:val="en-US" w:eastAsia="zh-CN" w:bidi="ar-SA"/>
    </w:rPr>
  </w:style>
  <w:style w:type="table" w:styleId="2343" w:customStyle="1">
    <w:name w:val="网格型9"/>
    <w:basedOn w:val="817"/>
    <w:uiPriority w:val="0"/>
    <w:qFormat/>
    <w:pPr>
      <w:jc w:val="both"/>
      <w:widowControl w:val="off"/>
    </w:pPr>
    <w:tblPr>
      <w:tblCellMar>
        <w:left w:w="0" w:type="dxa"/>
        <w:top w:w="0" w:type="dxa"/>
        <w:right w:w="0" w:type="dxa"/>
        <w:bottom w:w="0" w:type="dxa"/>
      </w:tblCellMar>
    </w:tblPr>
  </w:style>
  <w:style w:type="paragraph" w:styleId="2344" w:customStyle="1">
    <w:name w:val="Heading 2"/>
    <w:basedOn w:val="753"/>
    <w:next w:val="753"/>
    <w:uiPriority w:val="0"/>
    <w:qFormat/>
    <w:pPr>
      <w:jc w:val="center"/>
      <w:keepLines/>
      <w:keepNext/>
      <w:spacing w:before="260" w:after="260" w:line="416" w:lineRule="auto"/>
      <w:outlineLvl w:val="1"/>
    </w:pPr>
    <w:rPr>
      <w:rFonts w:ascii="幼圆" w:hAnsi="Arial" w:eastAsia="楷体_GB2312"/>
      <w:b/>
      <w:sz w:val="44"/>
      <w:szCs w:val="20"/>
    </w:rPr>
  </w:style>
  <w:style w:type="paragraph" w:styleId="2345" w:customStyle="1">
    <w:name w:val="Normal_0"/>
    <w:uiPriority w:val="0"/>
    <w:qFormat/>
    <w:rPr>
      <w:rFonts w:ascii="Times New Roman" w:hAnsi="Times New Roman" w:eastAsia="Times New Roman" w:cs="Times New Roman"/>
      <w:sz w:val="24"/>
      <w:szCs w:val="24"/>
      <w:lang w:val="en-US" w:eastAsia="zh-CN" w:bidi="ar-SA"/>
    </w:rPr>
  </w:style>
  <w:style w:type="character" w:styleId="2346" w:customStyle="1">
    <w:name w:val="font112"/>
    <w:basedOn w:val="763"/>
    <w:uiPriority w:val="0"/>
    <w:qFormat/>
    <w:rPr>
      <w:rFonts w:hint="eastAsia" w:ascii="宋体" w:hAnsi="宋体" w:eastAsia="宋体" w:cs="宋体"/>
      <w:color w:val="000000"/>
      <w:sz w:val="20"/>
      <w:szCs w:val="20"/>
      <w:u w:val="single"/>
    </w:rPr>
  </w:style>
  <w:style w:type="paragraph" w:styleId="234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348" w:customStyle="1">
    <w:name w:val="Normal_5"/>
    <w:uiPriority w:val="0"/>
    <w:qFormat/>
    <w:rPr>
      <w:rFonts w:ascii="Times New Roman" w:hAnsi="Times New Roman" w:eastAsia="Times New Roman" w:cs="Times New Roman"/>
      <w:sz w:val="24"/>
      <w:szCs w:val="24"/>
      <w:lang w:val="en-US" w:eastAsia="zh-CN" w:bidi="ar-SA"/>
    </w:rPr>
  </w:style>
  <w:style w:type="character" w:styleId="2349" w:customStyle="1">
    <w:name w:val="titlebody"/>
    <w:basedOn w:val="1401"/>
    <w:uiPriority w:val="0"/>
    <w:qFormat/>
    <w:rPr>
      <w:rFonts w:ascii="宋体" w:hAnsi="宋体" w:eastAsia="宋体" w:cs="宋体"/>
      <w:b/>
      <w:bCs/>
      <w:color w:val="000000"/>
      <w:sz w:val="24"/>
      <w:szCs w:val="24"/>
    </w:rPr>
  </w:style>
  <w:style w:type="paragraph" w:styleId="2350" w:customStyle="1">
    <w:name w:val="Normal_6"/>
    <w:uiPriority w:val="0"/>
    <w:qFormat/>
    <w:rPr>
      <w:rFonts w:ascii="Times New Roman" w:hAnsi="Times New Roman" w:eastAsia="Times New Roman" w:cs="Times New Roman"/>
      <w:sz w:val="24"/>
      <w:szCs w:val="24"/>
      <w:lang w:val="en-US" w:eastAsia="zh-CN" w:bidi="ar-SA"/>
    </w:rPr>
  </w:style>
  <w:style w:type="table" w:styleId="2351" w:customStyle="1">
    <w:name w:val="Table Normal"/>
    <w:uiPriority w:val="0"/>
    <w:qFormat/>
    <w:tblPr>
      <w:tblCellMar>
        <w:left w:w="0" w:type="dxa"/>
        <w:top w:w="0" w:type="dxa"/>
        <w:right w:w="0" w:type="dxa"/>
        <w:bottom w:w="0" w:type="dxa"/>
      </w:tblCellMar>
    </w:tblPr>
  </w:style>
  <w:style w:type="character" w:styleId="2352" w:customStyle="1">
    <w:name w:val="文档结构图 Char4"/>
    <w:basedOn w:val="763"/>
    <w:link w:val="770"/>
    <w:uiPriority w:val="99"/>
    <w:semiHidden/>
    <w:qFormat/>
    <w:rPr>
      <w:rFonts w:ascii="宋体"/>
      <w:sz w:val="18"/>
      <w:szCs w:val="18"/>
    </w:rPr>
  </w:style>
  <w:style w:type="character" w:styleId="2353" w:customStyle="1">
    <w:name w:val="批注框文本 Char5"/>
    <w:basedOn w:val="763"/>
    <w:link w:val="779"/>
    <w:uiPriority w:val="99"/>
    <w:semiHidden/>
    <w:qFormat/>
    <w:rPr>
      <w:sz w:val="18"/>
      <w:szCs w:val="18"/>
    </w:rPr>
  </w:style>
  <w:style w:type="character" w:styleId="2354" w:customStyle="1">
    <w:name w:val="批注文字 Char5"/>
    <w:basedOn w:val="763"/>
    <w:link w:val="771"/>
    <w:uiPriority w:val="99"/>
    <w:semiHidden/>
    <w:qFormat/>
    <w:rPr>
      <w:sz w:val="21"/>
      <w:szCs w:val="24"/>
    </w:rPr>
  </w:style>
  <w:style w:type="character" w:styleId="2355" w:customStyle="1">
    <w:name w:val="日期 Char5"/>
    <w:basedOn w:val="763"/>
    <w:link w:val="777"/>
    <w:uiPriority w:val="99"/>
    <w:semiHidden/>
    <w:qFormat/>
    <w:rPr>
      <w:sz w:val="21"/>
      <w:szCs w:val="24"/>
    </w:rPr>
  </w:style>
  <w:style w:type="paragraph" w:styleId="2356" w:customStyle="1">
    <w:name w:val="cas_content"/>
    <w:basedOn w:val="753"/>
    <w:uiPriority w:val="0"/>
    <w:qFormat/>
    <w:pPr>
      <w:jc w:val="left"/>
      <w:spacing w:before="100" w:beforeAutospacing="1" w:after="100" w:afterAutospacing="1"/>
      <w:widowControl/>
    </w:pPr>
    <w:rPr>
      <w:rFonts w:ascii="宋体" w:hAnsi="宋体" w:cs="宋体"/>
      <w:sz w:val="24"/>
    </w:rPr>
  </w:style>
  <w:style w:type="character" w:styleId="2357" w:customStyle="1">
    <w:name w:val="正文文本 Char5"/>
    <w:basedOn w:val="763"/>
    <w:link w:val="765"/>
    <w:uiPriority w:val="99"/>
    <w:semiHidden/>
    <w:qFormat/>
    <w:rPr>
      <w:sz w:val="21"/>
      <w:szCs w:val="24"/>
    </w:rPr>
  </w:style>
  <w:style w:type="character" w:styleId="2358" w:customStyle="1">
    <w:name w:val="正文首行缩进 Char6"/>
    <w:basedOn w:val="2357"/>
    <w:link w:val="792"/>
    <w:uiPriority w:val="99"/>
    <w:semiHidden/>
    <w:qFormat/>
  </w:style>
  <w:style w:type="paragraph" w:styleId="2359" w:customStyle="1">
    <w:name w:val="et14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0" w:customStyle="1">
    <w:name w:val="et147"/>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1" w:customStyle="1">
    <w:name w:val="et13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2" w:customStyle="1">
    <w:name w:val="et13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2363" w:customStyle="1">
    <w:name w:val="et13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4" w:customStyle="1">
    <w:name w:val="et14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5" w:customStyle="1">
    <w:name w:val="et15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6" w:customStyle="1">
    <w:name w:val="et13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7" w:customStyle="1">
    <w:name w:val="et13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8" w:customStyle="1">
    <w:name w:val="et146"/>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69" w:customStyle="1">
    <w:name w:val="et150"/>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70" w:customStyle="1">
    <w:name w:val="et97"/>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1" w:customStyle="1">
    <w:name w:val="et9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2372" w:customStyle="1">
    <w:name w:val="et99"/>
    <w:basedOn w:val="753"/>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2373" w:customStyle="1">
    <w:name w:val="et100"/>
    <w:basedOn w:val="753"/>
    <w:uiPriority w:val="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2374" w:customStyle="1">
    <w:name w:val="et101"/>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5" w:customStyle="1">
    <w:name w:val="et102"/>
    <w:basedOn w:val="75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0"/>
      <w:szCs w:val="20"/>
    </w:rPr>
  </w:style>
  <w:style w:type="paragraph" w:styleId="2376" w:customStyle="1">
    <w:name w:val="et103"/>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77" w:customStyle="1">
    <w:name w:val="正文5"/>
    <w:uiPriority w:val="0"/>
    <w:qFormat/>
    <w:pPr>
      <w:jc w:val="both"/>
    </w:pPr>
    <w:rPr>
      <w:rFonts w:ascii="Times New Roman" w:hAnsi="Times New Roman" w:eastAsia="宋体" w:cs="Times New Roman"/>
      <w:sz w:val="21"/>
      <w:szCs w:val="21"/>
      <w:lang w:val="en-US" w:eastAsia="zh-CN" w:bidi="ar-SA"/>
    </w:rPr>
  </w:style>
  <w:style w:type="paragraph" w:styleId="2378" w:customStyle="1">
    <w:name w:val="null3"/>
    <w:basedOn w:val="753"/>
    <w:uiPriority w:val="0"/>
    <w:qFormat/>
    <w:pPr>
      <w:jc w:val="left"/>
      <w:widowControl/>
    </w:pPr>
    <w:rPr>
      <w:rFonts w:ascii="Calibri" w:hAnsi="Calibri"/>
      <w:sz w:val="24"/>
    </w:rPr>
  </w:style>
  <w:style w:type="paragraph" w:styleId="2379" w:customStyle="1">
    <w:name w:val="List Paragraph1"/>
    <w:basedOn w:val="753"/>
    <w:uiPriority w:val="0"/>
    <w:pPr>
      <w:ind w:firstLine="420"/>
      <w:spacing w:line="360" w:lineRule="auto"/>
    </w:pPr>
    <w:rPr>
      <w:rFonts w:ascii="Calibri" w:hAnsi="Calibri" w:cs="Calibri"/>
      <w:szCs w:val="21"/>
    </w:rPr>
  </w:style>
  <w:style w:type="paragraph" w:styleId="2380" w:customStyle="1">
    <w:name w:val="my正文"/>
    <w:basedOn w:val="753"/>
    <w:uiPriority w:val="0"/>
    <w:qFormat/>
    <w:pPr>
      <w:ind w:firstLine="480"/>
      <w:spacing w:line="360" w:lineRule="auto"/>
    </w:pPr>
    <w:rPr>
      <w:sz w:val="24"/>
    </w:rPr>
  </w:style>
  <w:style w:type="paragraph" w:styleId="2381" w:customStyle="1">
    <w:name w:val="￥正文"/>
    <w:basedOn w:val="753"/>
    <w:uiPriority w:val="0"/>
    <w:pPr>
      <w:ind w:firstLine="200"/>
      <w:spacing w:line="360" w:lineRule="auto"/>
    </w:pPr>
    <w:rPr>
      <w:rFonts w:ascii="Calibri" w:hAnsi="Calibri"/>
      <w:sz w:val="24"/>
    </w:rPr>
  </w:style>
  <w:style w:type="character" w:styleId="2382" w:customStyle="1">
    <w:name w:val="15"/>
    <w:basedOn w:val="763"/>
    <w:uiPriority w:val="0"/>
    <w:qFormat/>
    <w:rPr>
      <w:rFonts w:hint="default" w:ascii="Times New Roman" w:hAnsi="Times New Roman" w:cs="Times New Roman"/>
      <w:b/>
      <w:bCs/>
      <w:sz w:val="20"/>
      <w:szCs w:val="20"/>
    </w:rPr>
  </w:style>
  <w:style w:type="character" w:styleId="2383" w:customStyle="1">
    <w:name w:val="10"/>
    <w:basedOn w:val="763"/>
    <w:uiPriority w:val="0"/>
    <w:qFormat/>
    <w:rPr>
      <w:rFonts w:hint="default" w:ascii="Calibri" w:hAnsi="Calibri" w:cs="Calibri"/>
    </w:rPr>
  </w:style>
  <w:style w:type="paragraph" w:styleId="2384" w:customStyle="1">
    <w:name w:val="标题 31"/>
    <w:basedOn w:val="753"/>
    <w:next w:val="753"/>
    <w:link w:val="2385"/>
    <w:uiPriority w:val="9"/>
    <w:qFormat/>
    <w:pPr>
      <w:keepLines/>
      <w:keepNext/>
      <w:spacing w:before="260" w:after="260" w:line="416" w:lineRule="auto"/>
      <w:outlineLvl w:val="2"/>
    </w:pPr>
    <w:rPr>
      <w:b/>
      <w:sz w:val="32"/>
      <w:szCs w:val="20"/>
    </w:rPr>
  </w:style>
  <w:style w:type="character" w:styleId="2385" w:customStyle="1">
    <w:name w:val="标题 3 字符2"/>
    <w:link w:val="2384"/>
    <w:uiPriority w:val="9"/>
    <w:qFormat/>
    <w:rPr>
      <w:b/>
      <w:sz w:val="32"/>
    </w:rPr>
  </w:style>
  <w:style w:type="paragraph" w:styleId="2386" w:customStyle="1">
    <w:name w:val="et45"/>
    <w:basedOn w:val="75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387" w:customStyle="1">
    <w:name w:val="et46"/>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388" w:customStyle="1">
    <w:name w:val="et47"/>
    <w:basedOn w:val="753"/>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2389" w:customStyle="1">
    <w:name w:val="et48"/>
    <w:basedOn w:val="753"/>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390" w:customStyle="1">
    <w:name w:val="正文_14"/>
    <w:uiPriority w:val="0"/>
    <w:qFormat/>
    <w:pPr>
      <w:jc w:val="both"/>
      <w:widowControl w:val="off"/>
    </w:pPr>
    <w:rPr>
      <w:rFonts w:ascii="Calibri" w:hAnsi="Calibri" w:eastAsia="宋体" w:cs="Times New Roman"/>
      <w:sz w:val="21"/>
      <w:szCs w:val="22"/>
      <w:lang w:val="en-US" w:eastAsia="zh-CN" w:bidi="ar-SA"/>
    </w:rPr>
  </w:style>
  <w:style w:type="character" w:styleId="2391" w:customStyle="1">
    <w:name w:val="titlebody_0"/>
    <w:basedOn w:val="1401"/>
    <w:uiPriority w:val="0"/>
    <w:qFormat/>
    <w:rPr>
      <w:rFonts w:ascii="宋体" w:hAnsi="宋体" w:eastAsia="宋体" w:cs="宋体"/>
      <w:b/>
      <w:bCs/>
      <w:color w:val="000000"/>
      <w:sz w:val="24"/>
      <w:szCs w:val="24"/>
      <w:lang w:val="en-US" w:eastAsia="zh-CN" w:bidi="ar-SA"/>
    </w:rPr>
  </w:style>
  <w:style w:type="paragraph" w:styleId="2392" w:customStyle="1">
    <w:name w:val="正文文本_2"/>
    <w:basedOn w:val="2334"/>
    <w:next w:val="2334"/>
    <w:uiPriority w:val="99"/>
    <w:qFormat/>
    <w:rPr>
      <w:rFonts w:ascii="楷体_GB2312" w:hAnsi="Arial" w:eastAsia="楷体_GB2312"/>
      <w:sz w:val="28"/>
      <w:szCs w:val="28"/>
    </w:rPr>
  </w:style>
  <w:style w:type="paragraph" w:styleId="2393" w:customStyle="1">
    <w:name w:val="正文_8_0"/>
    <w:next w:val="2394"/>
    <w:uiPriority w:val="0"/>
    <w:qFormat/>
    <w:rPr>
      <w:rFonts w:hint="default" w:ascii="Times New Roman" w:hAnsi="Times New Roman" w:eastAsia="宋体" w:cs="Times New Roman"/>
      <w:sz w:val="24"/>
      <w:szCs w:val="24"/>
      <w:lang w:val="en-US" w:eastAsia="zh-CN" w:bidi="ar-SA"/>
    </w:rPr>
  </w:style>
  <w:style w:type="paragraph" w:styleId="2394" w:customStyle="1">
    <w:name w:val="正文1_0"/>
    <w:basedOn w:val="2395"/>
    <w:next w:val="2396"/>
    <w:uiPriority w:val="0"/>
    <w:qFormat/>
    <w:pPr>
      <w:ind w:firstLine="482"/>
      <w:spacing w:line="360" w:lineRule="auto"/>
    </w:pPr>
    <w:rPr>
      <w:sz w:val="24"/>
    </w:rPr>
  </w:style>
  <w:style w:type="paragraph" w:styleId="2395" w:customStyle="1">
    <w:name w:val="正文111_0"/>
    <w:next w:val="23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96" w:customStyle="1">
    <w:name w:val="正文文本1_1"/>
    <w:next w:val="2397"/>
    <w:uiPriority w:val="0"/>
    <w:qFormat/>
    <w:pPr>
      <w:keepLines/>
      <w:spacing w:after="120" w:line="220" w:lineRule="atLeast"/>
    </w:pPr>
    <w:rPr>
      <w:rFonts w:hint="default" w:ascii="宋体" w:hAnsi="Times New Roman" w:eastAsia="宋体" w:cs="Times New Roman"/>
      <w:lang w:val="en-GB" w:eastAsia="zh-CN" w:bidi="ar-SA"/>
    </w:rPr>
  </w:style>
  <w:style w:type="paragraph" w:styleId="2397" w:customStyle="1">
    <w:name w:val="一级条标题_1"/>
    <w:basedOn w:val="2398"/>
    <w:next w:val="23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398" w:customStyle="1">
    <w:name w:val="章标题_1"/>
    <w:next w:val="23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399" w:customStyle="1">
    <w:name w:val="段_1"/>
    <w:basedOn w:val="2393"/>
    <w:next w:val="2394"/>
    <w:uiPriority w:val="0"/>
    <w:qFormat/>
    <w:pPr>
      <w:ind w:firstLine="200"/>
    </w:pPr>
    <w:rPr>
      <w:rFonts w:hint="eastAsia" w:ascii="宋体"/>
      <w:sz w:val="20"/>
      <w:szCs w:val="20"/>
    </w:rPr>
  </w:style>
  <w:style w:type="numbering" w:styleId="2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陈雪琴</cp:lastModifiedBy>
  <cp:revision>81</cp:revision>
  <dcterms:created xsi:type="dcterms:W3CDTF">2023-11-02T00:53:00Z</dcterms:created>
  <dcterms:modified xsi:type="dcterms:W3CDTF">2026-07-21T05:21:39Z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25E4FD1D3DA04710A1AF80ACCFC2B360_13</vt:lpwstr>
  </property>
  <property fmtid="{D5CDD505-2E9C-101B-9397-08002B2CF9AE}" pid="4" name="KSOTemplateDocerSaveRecord">
    <vt:lpwstr>eyJoZGlkIjoiYzZjYTg5YzJhMTY2OTY0Y2IxZTcwNDUwMDU5N2FmZjgiLCJ1c2VySWQiOiIzOTA4NjA5NjYifQ==</vt:lpwstr>
  </property>
</Properties>
</file>